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60147" w14:textId="4938925E" w:rsidR="008D594D" w:rsidRPr="008D594D" w:rsidRDefault="008D594D" w:rsidP="00043A14">
      <w:pPr>
        <w:jc w:val="center"/>
        <w:rPr>
          <w:rFonts w:ascii="Times New Roman" w:hAnsi="Times New Roman" w:cs="Times New Roman"/>
          <w:b/>
          <w:sz w:val="28"/>
          <w:szCs w:val="28"/>
          <w:lang w:val="es-NI"/>
        </w:rPr>
      </w:pPr>
      <w:r w:rsidRPr="008D594D">
        <w:rPr>
          <w:rFonts w:ascii="Times New Roman" w:hAnsi="Times New Roman" w:cs="Times New Roman"/>
          <w:b/>
          <w:sz w:val="28"/>
          <w:szCs w:val="28"/>
          <w:lang w:val="es"/>
        </w:rPr>
        <w:t>Apoy</w:t>
      </w:r>
      <w:r w:rsidR="000E5CCF">
        <w:rPr>
          <w:rFonts w:ascii="Times New Roman" w:hAnsi="Times New Roman" w:cs="Times New Roman"/>
          <w:b/>
          <w:sz w:val="28"/>
          <w:szCs w:val="28"/>
          <w:lang w:val="es"/>
        </w:rPr>
        <w:t>ando la</w:t>
      </w:r>
      <w:r w:rsidR="00705911">
        <w:rPr>
          <w:rFonts w:ascii="Times New Roman" w:hAnsi="Times New Roman" w:cs="Times New Roman"/>
          <w:b/>
          <w:sz w:val="28"/>
          <w:szCs w:val="28"/>
          <w:lang w:val="es"/>
        </w:rPr>
        <w:t xml:space="preserve"> </w:t>
      </w:r>
      <w:r w:rsidRPr="008D594D">
        <w:rPr>
          <w:rFonts w:ascii="Times New Roman" w:hAnsi="Times New Roman" w:cs="Times New Roman"/>
          <w:b/>
          <w:sz w:val="28"/>
          <w:szCs w:val="28"/>
          <w:lang w:val="es"/>
        </w:rPr>
        <w:t xml:space="preserve">salud reproductiva </w:t>
      </w:r>
      <w:r w:rsidR="000E5CCF">
        <w:rPr>
          <w:rFonts w:ascii="Times New Roman" w:hAnsi="Times New Roman" w:cs="Times New Roman"/>
          <w:b/>
          <w:sz w:val="28"/>
          <w:szCs w:val="28"/>
          <w:lang w:val="es"/>
        </w:rPr>
        <w:t>de</w:t>
      </w:r>
      <w:r w:rsidRPr="008D594D">
        <w:rPr>
          <w:rFonts w:ascii="Times New Roman" w:hAnsi="Times New Roman" w:cs="Times New Roman"/>
          <w:b/>
          <w:sz w:val="28"/>
          <w:szCs w:val="28"/>
          <w:lang w:val="es"/>
        </w:rPr>
        <w:t xml:space="preserve"> los jóvenes: incluyendo </w:t>
      </w:r>
      <w:r w:rsidR="00344BAE">
        <w:rPr>
          <w:rFonts w:ascii="Times New Roman" w:hAnsi="Times New Roman" w:cs="Times New Roman"/>
          <w:b/>
          <w:sz w:val="28"/>
          <w:szCs w:val="28"/>
          <w:lang w:val="es"/>
        </w:rPr>
        <w:t xml:space="preserve">LARC en </w:t>
      </w:r>
      <w:r w:rsidR="005C71C6">
        <w:rPr>
          <w:rFonts w:ascii="Times New Roman" w:hAnsi="Times New Roman" w:cs="Times New Roman"/>
          <w:b/>
          <w:sz w:val="28"/>
          <w:szCs w:val="28"/>
          <w:lang w:val="es"/>
        </w:rPr>
        <w:t>unidad</w:t>
      </w:r>
      <w:r w:rsidR="002B4164">
        <w:rPr>
          <w:rFonts w:ascii="Times New Roman" w:hAnsi="Times New Roman" w:cs="Times New Roman"/>
          <w:b/>
          <w:sz w:val="28"/>
          <w:szCs w:val="28"/>
          <w:lang w:val="es"/>
        </w:rPr>
        <w:t>es</w:t>
      </w:r>
      <w:r w:rsidR="00787BE4">
        <w:rPr>
          <w:rFonts w:ascii="Times New Roman" w:hAnsi="Times New Roman" w:cs="Times New Roman"/>
          <w:b/>
          <w:sz w:val="28"/>
          <w:szCs w:val="28"/>
          <w:lang w:val="es"/>
        </w:rPr>
        <w:t xml:space="preserve"> de salud</w:t>
      </w:r>
      <w:r w:rsidR="005C71C6">
        <w:rPr>
          <w:rFonts w:ascii="Times New Roman" w:hAnsi="Times New Roman" w:cs="Times New Roman"/>
          <w:b/>
          <w:sz w:val="28"/>
          <w:szCs w:val="28"/>
          <w:lang w:val="es"/>
        </w:rPr>
        <w:t xml:space="preserve"> </w:t>
      </w:r>
      <w:r w:rsidR="00527F8E">
        <w:rPr>
          <w:rFonts w:ascii="Times New Roman" w:hAnsi="Times New Roman" w:cs="Times New Roman"/>
          <w:b/>
          <w:sz w:val="28"/>
          <w:szCs w:val="28"/>
          <w:lang w:val="es"/>
        </w:rPr>
        <w:t xml:space="preserve">adaptadas </w:t>
      </w:r>
      <w:r w:rsidR="005C71C6">
        <w:rPr>
          <w:rFonts w:ascii="Times New Roman" w:hAnsi="Times New Roman" w:cs="Times New Roman"/>
          <w:b/>
          <w:sz w:val="28"/>
          <w:szCs w:val="28"/>
          <w:lang w:val="es"/>
        </w:rPr>
        <w:t xml:space="preserve">a </w:t>
      </w:r>
      <w:r w:rsidR="00527F8E">
        <w:rPr>
          <w:rFonts w:ascii="Times New Roman" w:hAnsi="Times New Roman" w:cs="Times New Roman"/>
          <w:b/>
          <w:sz w:val="28"/>
          <w:szCs w:val="28"/>
          <w:lang w:val="es"/>
        </w:rPr>
        <w:t xml:space="preserve">los </w:t>
      </w:r>
      <w:r w:rsidR="005C71C6">
        <w:rPr>
          <w:rFonts w:ascii="Times New Roman" w:hAnsi="Times New Roman" w:cs="Times New Roman"/>
          <w:b/>
          <w:sz w:val="28"/>
          <w:szCs w:val="28"/>
          <w:lang w:val="es"/>
        </w:rPr>
        <w:t xml:space="preserve">jóvenes </w:t>
      </w:r>
      <w:r w:rsidRPr="008D594D">
        <w:rPr>
          <w:rFonts w:ascii="Times New Roman" w:hAnsi="Times New Roman" w:cs="Times New Roman"/>
          <w:b/>
          <w:sz w:val="28"/>
          <w:szCs w:val="28"/>
          <w:lang w:val="es"/>
        </w:rPr>
        <w:t>en Etiopia</w:t>
      </w:r>
    </w:p>
    <w:p w14:paraId="681BE5AB" w14:textId="0E54BA1C" w:rsidR="00E26148" w:rsidRPr="008B33DB" w:rsidRDefault="008B33DB" w:rsidP="008B33DB">
      <w:pPr>
        <w:jc w:val="both"/>
        <w:rPr>
          <w:lang w:val="es-NI"/>
        </w:rPr>
      </w:pPr>
      <w:r w:rsidRPr="008B33DB">
        <w:rPr>
          <w:lang w:val="es-NI"/>
        </w:rPr>
        <w:t>A nivel mundial, el 25</w:t>
      </w:r>
      <w:r w:rsidR="00F56F91">
        <w:rPr>
          <w:lang w:val="es-NI"/>
        </w:rPr>
        <w:t>%</w:t>
      </w:r>
      <w:r w:rsidRPr="008B33DB">
        <w:rPr>
          <w:lang w:val="es-NI"/>
        </w:rPr>
        <w:t xml:space="preserve"> de la población </w:t>
      </w:r>
      <w:r w:rsidR="00C1408B">
        <w:rPr>
          <w:lang w:val="es-NI"/>
        </w:rPr>
        <w:t>–</w:t>
      </w:r>
      <w:r w:rsidRPr="008B33DB">
        <w:rPr>
          <w:lang w:val="es-NI"/>
        </w:rPr>
        <w:t xml:space="preserve"> 1</w:t>
      </w:r>
      <w:r w:rsidR="00C1408B">
        <w:rPr>
          <w:lang w:val="es-NI"/>
        </w:rPr>
        <w:t>.</w:t>
      </w:r>
      <w:r w:rsidRPr="008B33DB">
        <w:rPr>
          <w:lang w:val="es-NI"/>
        </w:rPr>
        <w:t xml:space="preserve">8 billones </w:t>
      </w:r>
      <w:r w:rsidR="009D53C2">
        <w:rPr>
          <w:lang w:val="es-NI"/>
        </w:rPr>
        <w:t>-</w:t>
      </w:r>
      <w:r w:rsidRPr="008B33DB">
        <w:rPr>
          <w:lang w:val="es-NI"/>
        </w:rPr>
        <w:t xml:space="preserve"> son jóvenes (10 </w:t>
      </w:r>
      <w:r w:rsidR="00F56F91">
        <w:rPr>
          <w:lang w:val="es-NI"/>
        </w:rPr>
        <w:t>-</w:t>
      </w:r>
      <w:r w:rsidRPr="008B33DB">
        <w:rPr>
          <w:lang w:val="es-NI"/>
        </w:rPr>
        <w:t xml:space="preserve"> 24 años)</w:t>
      </w:r>
      <w:r w:rsidR="00E26148" w:rsidRPr="008B33DB">
        <w:rPr>
          <w:lang w:val="es-NI"/>
        </w:rPr>
        <w:t>.</w:t>
      </w:r>
      <w:r w:rsidR="00E26148" w:rsidRPr="00297BA5">
        <w:rPr>
          <w:rStyle w:val="EndnoteReference"/>
        </w:rPr>
        <w:endnoteReference w:id="1"/>
      </w:r>
      <w:r w:rsidRPr="008B33DB">
        <w:rPr>
          <w:spacing w:val="5"/>
          <w:lang w:val="es-NI"/>
        </w:rPr>
        <w:t xml:space="preserve"> Este grupo grande y diverso </w:t>
      </w:r>
      <w:r w:rsidR="00F56F91">
        <w:rPr>
          <w:spacing w:val="5"/>
          <w:lang w:val="es-NI"/>
        </w:rPr>
        <w:t xml:space="preserve">dará </w:t>
      </w:r>
      <w:r w:rsidRPr="008B33DB">
        <w:rPr>
          <w:spacing w:val="5"/>
          <w:lang w:val="es-NI"/>
        </w:rPr>
        <w:t xml:space="preserve">forma </w:t>
      </w:r>
      <w:r w:rsidR="00273ACB">
        <w:rPr>
          <w:spacing w:val="5"/>
          <w:lang w:val="es-NI"/>
        </w:rPr>
        <w:t>a</w:t>
      </w:r>
      <w:r w:rsidRPr="008B33DB">
        <w:rPr>
          <w:spacing w:val="5"/>
          <w:lang w:val="es-NI"/>
        </w:rPr>
        <w:t>l mundo demo</w:t>
      </w:r>
      <w:bookmarkStart w:id="0" w:name="_GoBack"/>
      <w:bookmarkEnd w:id="0"/>
      <w:r w:rsidRPr="008B33DB">
        <w:rPr>
          <w:spacing w:val="5"/>
          <w:lang w:val="es-NI"/>
        </w:rPr>
        <w:t>gráfico, económico, soci</w:t>
      </w:r>
      <w:r w:rsidR="00273ACB">
        <w:rPr>
          <w:spacing w:val="5"/>
          <w:lang w:val="es-NI"/>
        </w:rPr>
        <w:t>o</w:t>
      </w:r>
      <w:r w:rsidRPr="008B33DB">
        <w:rPr>
          <w:spacing w:val="5"/>
          <w:lang w:val="es-NI"/>
        </w:rPr>
        <w:t xml:space="preserve">político del futuro. </w:t>
      </w:r>
      <w:r w:rsidR="00F56F91">
        <w:rPr>
          <w:spacing w:val="5"/>
          <w:lang w:val="es-NI"/>
        </w:rPr>
        <w:t xml:space="preserve"> </w:t>
      </w:r>
      <w:r w:rsidR="00E008C8">
        <w:rPr>
          <w:spacing w:val="5"/>
          <w:lang w:val="es-NI"/>
        </w:rPr>
        <w:t>En la actualidad, l</w:t>
      </w:r>
      <w:r w:rsidRPr="008B33DB">
        <w:rPr>
          <w:spacing w:val="5"/>
          <w:lang w:val="es-NI"/>
        </w:rPr>
        <w:t xml:space="preserve">a mayor </w:t>
      </w:r>
      <w:r w:rsidR="00504D52">
        <w:rPr>
          <w:spacing w:val="5"/>
          <w:lang w:val="es-NI"/>
        </w:rPr>
        <w:t xml:space="preserve">parte </w:t>
      </w:r>
      <w:r w:rsidR="00E008C8">
        <w:rPr>
          <w:spacing w:val="5"/>
          <w:lang w:val="es-NI"/>
        </w:rPr>
        <w:t xml:space="preserve">de los </w:t>
      </w:r>
      <w:r w:rsidRPr="008B33DB">
        <w:rPr>
          <w:spacing w:val="5"/>
          <w:lang w:val="es-NI"/>
        </w:rPr>
        <w:t xml:space="preserve">jóvenes </w:t>
      </w:r>
      <w:r w:rsidR="009D53C2">
        <w:rPr>
          <w:spacing w:val="5"/>
          <w:lang w:val="es-NI"/>
        </w:rPr>
        <w:t xml:space="preserve">- </w:t>
      </w:r>
      <w:r w:rsidRPr="008B33DB">
        <w:rPr>
          <w:spacing w:val="5"/>
          <w:lang w:val="es-NI"/>
        </w:rPr>
        <w:t>89</w:t>
      </w:r>
      <w:r w:rsidR="00F56F91">
        <w:rPr>
          <w:spacing w:val="5"/>
          <w:lang w:val="es-NI"/>
        </w:rPr>
        <w:t>%</w:t>
      </w:r>
      <w:r w:rsidR="009D53C2">
        <w:rPr>
          <w:spacing w:val="5"/>
          <w:lang w:val="es-NI"/>
        </w:rPr>
        <w:t xml:space="preserve"> -</w:t>
      </w:r>
      <w:r w:rsidRPr="008B33DB">
        <w:rPr>
          <w:spacing w:val="5"/>
          <w:lang w:val="es-NI"/>
        </w:rPr>
        <w:t xml:space="preserve"> viven en países </w:t>
      </w:r>
      <w:r w:rsidR="00F56F91">
        <w:rPr>
          <w:spacing w:val="5"/>
          <w:lang w:val="es-NI"/>
        </w:rPr>
        <w:t>en vías de desarrollo</w:t>
      </w:r>
      <w:r w:rsidRPr="008B33DB">
        <w:rPr>
          <w:spacing w:val="5"/>
          <w:lang w:val="es-NI"/>
        </w:rPr>
        <w:t xml:space="preserve">, </w:t>
      </w:r>
      <w:r w:rsidR="00B90269">
        <w:rPr>
          <w:spacing w:val="5"/>
          <w:lang w:val="es-NI"/>
        </w:rPr>
        <w:t>esto</w:t>
      </w:r>
      <w:r w:rsidR="00F56F91">
        <w:rPr>
          <w:spacing w:val="5"/>
          <w:lang w:val="es-NI"/>
        </w:rPr>
        <w:t xml:space="preserve"> </w:t>
      </w:r>
      <w:r w:rsidRPr="008B33DB">
        <w:rPr>
          <w:spacing w:val="5"/>
          <w:lang w:val="es-NI"/>
        </w:rPr>
        <w:t>incluye</w:t>
      </w:r>
      <w:r w:rsidR="00F56F91">
        <w:rPr>
          <w:spacing w:val="5"/>
          <w:lang w:val="es-NI"/>
        </w:rPr>
        <w:t xml:space="preserve"> </w:t>
      </w:r>
      <w:r w:rsidRPr="008B33DB">
        <w:rPr>
          <w:spacing w:val="5"/>
          <w:lang w:val="es-NI"/>
        </w:rPr>
        <w:t>33 millones de niños y jóvenes</w:t>
      </w:r>
      <w:r w:rsidR="00D23D7E">
        <w:rPr>
          <w:spacing w:val="5"/>
          <w:lang w:val="es-NI"/>
        </w:rPr>
        <w:t xml:space="preserve"> de </w:t>
      </w:r>
      <w:r w:rsidRPr="008B33DB">
        <w:rPr>
          <w:spacing w:val="5"/>
          <w:lang w:val="es-NI"/>
        </w:rPr>
        <w:t>0 a 24</w:t>
      </w:r>
      <w:r w:rsidR="00F56F91">
        <w:rPr>
          <w:spacing w:val="5"/>
          <w:lang w:val="es-NI"/>
        </w:rPr>
        <w:t xml:space="preserve"> años</w:t>
      </w:r>
      <w:r w:rsidRPr="008B33DB">
        <w:rPr>
          <w:spacing w:val="5"/>
          <w:lang w:val="es-NI"/>
        </w:rPr>
        <w:t xml:space="preserve">, en Etiopía. En </w:t>
      </w:r>
      <w:r w:rsidR="00452FA9">
        <w:rPr>
          <w:spacing w:val="5"/>
          <w:lang w:val="es-NI"/>
        </w:rPr>
        <w:t>este país</w:t>
      </w:r>
      <w:r w:rsidRPr="008B33DB">
        <w:rPr>
          <w:spacing w:val="5"/>
          <w:lang w:val="es-NI"/>
        </w:rPr>
        <w:t>, la</w:t>
      </w:r>
      <w:r w:rsidR="00452FA9">
        <w:rPr>
          <w:spacing w:val="5"/>
          <w:lang w:val="es-NI"/>
        </w:rPr>
        <w:t xml:space="preserve"> tasa de</w:t>
      </w:r>
      <w:r w:rsidRPr="008B33DB">
        <w:rPr>
          <w:spacing w:val="5"/>
          <w:lang w:val="es-NI"/>
        </w:rPr>
        <w:t xml:space="preserve"> </w:t>
      </w:r>
      <w:r w:rsidR="002D5775">
        <w:rPr>
          <w:spacing w:val="5"/>
          <w:lang w:val="es-NI"/>
        </w:rPr>
        <w:t>fecundidad</w:t>
      </w:r>
      <w:r w:rsidRPr="008B33DB">
        <w:rPr>
          <w:spacing w:val="5"/>
          <w:lang w:val="es-NI"/>
        </w:rPr>
        <w:t xml:space="preserve"> sigue siendo alta. </w:t>
      </w:r>
      <w:r w:rsidR="00452FA9">
        <w:rPr>
          <w:spacing w:val="5"/>
          <w:lang w:val="es-NI"/>
        </w:rPr>
        <w:t xml:space="preserve"> </w:t>
      </w:r>
      <w:r w:rsidRPr="008B33DB">
        <w:rPr>
          <w:spacing w:val="5"/>
          <w:lang w:val="es-NI"/>
        </w:rPr>
        <w:t>La tasa global de fecundidad (TGF) es de 4</w:t>
      </w:r>
      <w:r w:rsidR="002D5775">
        <w:rPr>
          <w:spacing w:val="5"/>
          <w:lang w:val="es-NI"/>
        </w:rPr>
        <w:t>.</w:t>
      </w:r>
      <w:r w:rsidRPr="008B33DB">
        <w:rPr>
          <w:spacing w:val="5"/>
          <w:lang w:val="es-NI"/>
        </w:rPr>
        <w:t>6 hijos por mujer, con una v</w:t>
      </w:r>
      <w:r w:rsidR="00F56F91">
        <w:rPr>
          <w:spacing w:val="5"/>
          <w:lang w:val="es-NI"/>
        </w:rPr>
        <w:t>ariación sustancial por región: la TGF</w:t>
      </w:r>
      <w:r w:rsidRPr="008B33DB">
        <w:rPr>
          <w:spacing w:val="5"/>
          <w:lang w:val="es-NI"/>
        </w:rPr>
        <w:t xml:space="preserve"> ha caído por debajo del nivel de reemplazo (2,1 hijos por mujer) en la capital Addis Abeba; </w:t>
      </w:r>
      <w:r w:rsidR="00FC27D0">
        <w:rPr>
          <w:spacing w:val="5"/>
          <w:lang w:val="es-NI"/>
        </w:rPr>
        <w:t xml:space="preserve">en </w:t>
      </w:r>
      <w:r w:rsidR="00B21691">
        <w:rPr>
          <w:spacing w:val="5"/>
          <w:lang w:val="es-NI"/>
        </w:rPr>
        <w:t>la</w:t>
      </w:r>
      <w:r w:rsidR="00D438D5">
        <w:rPr>
          <w:spacing w:val="5"/>
          <w:lang w:val="es-NI"/>
        </w:rPr>
        <w:t>s</w:t>
      </w:r>
      <w:r w:rsidR="00B21691">
        <w:rPr>
          <w:spacing w:val="5"/>
          <w:lang w:val="es-NI"/>
        </w:rPr>
        <w:t xml:space="preserve"> ciudad</w:t>
      </w:r>
      <w:r w:rsidR="00D438D5">
        <w:rPr>
          <w:spacing w:val="5"/>
          <w:lang w:val="es-NI"/>
        </w:rPr>
        <w:t>es</w:t>
      </w:r>
      <w:r w:rsidR="00FC27D0">
        <w:rPr>
          <w:spacing w:val="5"/>
          <w:lang w:val="es-NI"/>
        </w:rPr>
        <w:t xml:space="preserve"> </w:t>
      </w:r>
      <w:r w:rsidRPr="008B33DB">
        <w:rPr>
          <w:spacing w:val="5"/>
          <w:lang w:val="es-NI"/>
        </w:rPr>
        <w:t>es de 3</w:t>
      </w:r>
      <w:r w:rsidR="00F639DC">
        <w:rPr>
          <w:spacing w:val="5"/>
          <w:lang w:val="es-NI"/>
        </w:rPr>
        <w:t>.5</w:t>
      </w:r>
      <w:r w:rsidRPr="008B33DB">
        <w:rPr>
          <w:spacing w:val="5"/>
          <w:lang w:val="es-NI"/>
        </w:rPr>
        <w:t xml:space="preserve"> hijos por mujer y </w:t>
      </w:r>
      <w:r w:rsidR="00FC27D0" w:rsidRPr="008B33DB">
        <w:rPr>
          <w:spacing w:val="5"/>
          <w:lang w:val="es-NI"/>
        </w:rPr>
        <w:t>en las zonas rurales donde vive el 84</w:t>
      </w:r>
      <w:r w:rsidR="00905C83">
        <w:rPr>
          <w:spacing w:val="5"/>
          <w:lang w:val="es-NI"/>
        </w:rPr>
        <w:t>%</w:t>
      </w:r>
      <w:r w:rsidR="00FC27D0" w:rsidRPr="008B33DB">
        <w:rPr>
          <w:spacing w:val="5"/>
          <w:lang w:val="es-NI"/>
        </w:rPr>
        <w:t xml:space="preserve"> de la población </w:t>
      </w:r>
      <w:r w:rsidRPr="008B33DB">
        <w:rPr>
          <w:spacing w:val="5"/>
          <w:lang w:val="es-NI"/>
        </w:rPr>
        <w:t xml:space="preserve">se mantiene por encima de </w:t>
      </w:r>
      <w:r w:rsidR="00FC27D0">
        <w:rPr>
          <w:spacing w:val="5"/>
          <w:lang w:val="es-NI"/>
        </w:rPr>
        <w:t xml:space="preserve">los </w:t>
      </w:r>
      <w:r w:rsidRPr="008B33DB">
        <w:rPr>
          <w:spacing w:val="5"/>
          <w:lang w:val="es-NI"/>
        </w:rPr>
        <w:t>6 hijos por mujer</w:t>
      </w:r>
      <w:r w:rsidR="004D054E" w:rsidRPr="00297BA5">
        <w:rPr>
          <w:rStyle w:val="EndnoteReference"/>
        </w:rPr>
        <w:endnoteReference w:id="2"/>
      </w:r>
      <w:r w:rsidR="00AF3215" w:rsidRPr="008B33DB">
        <w:rPr>
          <w:rStyle w:val="EndnoteReference"/>
          <w:lang w:val="es-NI"/>
        </w:rPr>
        <w:t>,</w:t>
      </w:r>
      <w:r w:rsidR="004D054E" w:rsidRPr="00297BA5">
        <w:rPr>
          <w:rStyle w:val="EndnoteReference"/>
          <w:spacing w:val="5"/>
        </w:rPr>
        <w:endnoteReference w:id="3"/>
      </w:r>
      <w:r>
        <w:rPr>
          <w:lang w:val="es-NI"/>
        </w:rPr>
        <w:t>.</w:t>
      </w:r>
      <w:r w:rsidRPr="008B33DB">
        <w:rPr>
          <w:lang w:val="es-NI"/>
        </w:rPr>
        <w:t xml:space="preserve"> </w:t>
      </w:r>
      <w:r w:rsidR="00FC27D0">
        <w:rPr>
          <w:lang w:val="es-NI"/>
        </w:rPr>
        <w:t xml:space="preserve">  La alta tasa </w:t>
      </w:r>
      <w:r w:rsidRPr="008B33DB">
        <w:rPr>
          <w:lang w:val="es-NI"/>
        </w:rPr>
        <w:t xml:space="preserve">de fecundidad conduce a </w:t>
      </w:r>
      <w:r w:rsidR="006704FA">
        <w:rPr>
          <w:lang w:val="es-NI"/>
        </w:rPr>
        <w:t>u</w:t>
      </w:r>
      <w:r w:rsidR="00A63BE7">
        <w:rPr>
          <w:lang w:val="es-NI"/>
        </w:rPr>
        <w:t xml:space="preserve">na </w:t>
      </w:r>
      <w:r w:rsidR="00FD1B3F">
        <w:rPr>
          <w:lang w:val="es-NI"/>
        </w:rPr>
        <w:t>población</w:t>
      </w:r>
      <w:r w:rsidR="00A63BE7">
        <w:rPr>
          <w:lang w:val="es-NI"/>
        </w:rPr>
        <w:t xml:space="preserve"> base</w:t>
      </w:r>
      <w:r w:rsidR="006704FA">
        <w:rPr>
          <w:lang w:val="es-NI"/>
        </w:rPr>
        <w:t xml:space="preserve"> </w:t>
      </w:r>
      <w:r w:rsidR="00FD1B3F">
        <w:rPr>
          <w:lang w:val="es-NI"/>
        </w:rPr>
        <w:t xml:space="preserve">cada vez más grande </w:t>
      </w:r>
      <w:r w:rsidR="006704FA">
        <w:rPr>
          <w:lang w:val="es-NI"/>
        </w:rPr>
        <w:t xml:space="preserve">de </w:t>
      </w:r>
      <w:r w:rsidRPr="008B33DB">
        <w:rPr>
          <w:lang w:val="es-NI"/>
        </w:rPr>
        <w:t>niños y jóvenes</w:t>
      </w:r>
      <w:r w:rsidR="00E26148" w:rsidRPr="00297BA5">
        <w:rPr>
          <w:rStyle w:val="EndnoteReference"/>
        </w:rPr>
        <w:endnoteReference w:id="4"/>
      </w:r>
      <w:r w:rsidRPr="008B33DB">
        <w:rPr>
          <w:lang w:val="es-NI"/>
        </w:rPr>
        <w:t xml:space="preserve">. </w:t>
      </w:r>
      <w:r w:rsidR="00944945">
        <w:rPr>
          <w:lang w:val="es-NI"/>
        </w:rPr>
        <w:t xml:space="preserve"> </w:t>
      </w:r>
      <w:r w:rsidRPr="008B33DB">
        <w:rPr>
          <w:lang w:val="es-NI"/>
        </w:rPr>
        <w:t xml:space="preserve">Es fundamental abordar la salud sexual y reproductiva de </w:t>
      </w:r>
      <w:r w:rsidR="006704FA" w:rsidRPr="008B33DB">
        <w:rPr>
          <w:lang w:val="es-NI"/>
        </w:rPr>
        <w:t>grandes</w:t>
      </w:r>
      <w:r w:rsidR="006704FA">
        <w:rPr>
          <w:lang w:val="es-NI"/>
        </w:rPr>
        <w:t xml:space="preserve"> grupos</w:t>
      </w:r>
      <w:r w:rsidR="006704FA" w:rsidRPr="008B33DB">
        <w:rPr>
          <w:lang w:val="es-NI"/>
        </w:rPr>
        <w:t xml:space="preserve"> </w:t>
      </w:r>
      <w:r w:rsidR="006704FA">
        <w:rPr>
          <w:lang w:val="es-NI"/>
        </w:rPr>
        <w:t xml:space="preserve">poblacionales de </w:t>
      </w:r>
      <w:r w:rsidRPr="008B33DB">
        <w:rPr>
          <w:lang w:val="es-NI"/>
        </w:rPr>
        <w:t xml:space="preserve">jóvenes no sólo </w:t>
      </w:r>
      <w:r w:rsidR="002C0C4A">
        <w:rPr>
          <w:lang w:val="es-NI"/>
        </w:rPr>
        <w:t xml:space="preserve">para </w:t>
      </w:r>
      <w:r w:rsidRPr="008B33DB">
        <w:rPr>
          <w:lang w:val="es-NI"/>
        </w:rPr>
        <w:t xml:space="preserve">apoyar su derecho universal a la salud </w:t>
      </w:r>
      <w:r w:rsidR="006704FA">
        <w:rPr>
          <w:lang w:val="es-NI"/>
        </w:rPr>
        <w:t>-</w:t>
      </w:r>
      <w:r w:rsidRPr="008B33DB">
        <w:rPr>
          <w:lang w:val="es-NI"/>
        </w:rPr>
        <w:t xml:space="preserve"> </w:t>
      </w:r>
      <w:r w:rsidR="006704FA">
        <w:rPr>
          <w:lang w:val="es-NI"/>
        </w:rPr>
        <w:t>que incluye</w:t>
      </w:r>
      <w:r w:rsidRPr="008B33DB">
        <w:rPr>
          <w:lang w:val="es-NI"/>
        </w:rPr>
        <w:t xml:space="preserve"> el acceso a</w:t>
      </w:r>
      <w:r w:rsidR="006704FA">
        <w:rPr>
          <w:lang w:val="es-NI"/>
        </w:rPr>
        <w:t xml:space="preserve"> métodos anticonceptivos -</w:t>
      </w:r>
      <w:r w:rsidRPr="008B33DB">
        <w:rPr>
          <w:lang w:val="es-NI"/>
        </w:rPr>
        <w:t xml:space="preserve">, </w:t>
      </w:r>
      <w:r w:rsidR="006704FA">
        <w:rPr>
          <w:lang w:val="es-NI"/>
        </w:rPr>
        <w:t>sino</w:t>
      </w:r>
      <w:r w:rsidRPr="008B33DB">
        <w:rPr>
          <w:lang w:val="es-NI"/>
        </w:rPr>
        <w:t xml:space="preserve"> también </w:t>
      </w:r>
      <w:r w:rsidR="00814D3B">
        <w:rPr>
          <w:lang w:val="es-NI"/>
        </w:rPr>
        <w:t xml:space="preserve">para </w:t>
      </w:r>
      <w:r w:rsidRPr="008B33DB">
        <w:rPr>
          <w:lang w:val="es-NI"/>
        </w:rPr>
        <w:t xml:space="preserve">contribuir </w:t>
      </w:r>
      <w:r w:rsidR="00202467">
        <w:rPr>
          <w:lang w:val="es-NI"/>
        </w:rPr>
        <w:t>con</w:t>
      </w:r>
      <w:r w:rsidRPr="008B33DB">
        <w:rPr>
          <w:lang w:val="es-NI"/>
        </w:rPr>
        <w:t xml:space="preserve"> los esfuerzos de desarrollo </w:t>
      </w:r>
      <w:r w:rsidR="00814D3B">
        <w:rPr>
          <w:lang w:val="es-NI"/>
        </w:rPr>
        <w:t>en</w:t>
      </w:r>
      <w:r w:rsidRPr="008B33DB">
        <w:rPr>
          <w:lang w:val="es-NI"/>
        </w:rPr>
        <w:t xml:space="preserve"> </w:t>
      </w:r>
      <w:r w:rsidR="00202467" w:rsidRPr="008B33DB">
        <w:rPr>
          <w:lang w:val="es-NI"/>
        </w:rPr>
        <w:t>ampli</w:t>
      </w:r>
      <w:r w:rsidR="00202467">
        <w:rPr>
          <w:lang w:val="es-NI"/>
        </w:rPr>
        <w:t xml:space="preserve">ación de </w:t>
      </w:r>
      <w:r w:rsidRPr="008B33DB">
        <w:rPr>
          <w:lang w:val="es-NI"/>
        </w:rPr>
        <w:t>la educación, pr</w:t>
      </w:r>
      <w:r>
        <w:rPr>
          <w:lang w:val="es-NI"/>
        </w:rPr>
        <w:t xml:space="preserve">oporcionar empleos </w:t>
      </w:r>
      <w:r w:rsidRPr="00F01759">
        <w:rPr>
          <w:lang w:val="es-NI"/>
        </w:rPr>
        <w:t xml:space="preserve">significativos y </w:t>
      </w:r>
      <w:r w:rsidR="00202467" w:rsidRPr="00F01759">
        <w:rPr>
          <w:lang w:val="es-NI"/>
        </w:rPr>
        <w:t>reducción de</w:t>
      </w:r>
      <w:r w:rsidRPr="00F01759">
        <w:rPr>
          <w:lang w:val="es-NI"/>
        </w:rPr>
        <w:t xml:space="preserve"> la pobreza.</w:t>
      </w:r>
    </w:p>
    <w:p w14:paraId="1146D287" w14:textId="66B8720F" w:rsidR="00E26148" w:rsidRPr="008B33DB" w:rsidRDefault="008B33DB" w:rsidP="008B33DB">
      <w:pPr>
        <w:jc w:val="both"/>
        <w:rPr>
          <w:lang w:val="es-NI"/>
        </w:rPr>
      </w:pPr>
      <w:r w:rsidRPr="008B33DB">
        <w:rPr>
          <w:lang w:val="es-NI"/>
        </w:rPr>
        <w:t xml:space="preserve">Afortunadamente, la importancia de proporcionar información </w:t>
      </w:r>
      <w:r w:rsidR="009040D1">
        <w:rPr>
          <w:lang w:val="es-NI"/>
        </w:rPr>
        <w:t>en materia de</w:t>
      </w:r>
      <w:r w:rsidRPr="008B33DB">
        <w:rPr>
          <w:lang w:val="es-NI"/>
        </w:rPr>
        <w:t xml:space="preserve"> salud reproductiva y servicios a la juventud está ganando atención </w:t>
      </w:r>
      <w:r w:rsidR="009040D1">
        <w:rPr>
          <w:lang w:val="es-NI"/>
        </w:rPr>
        <w:t xml:space="preserve">a nivel </w:t>
      </w:r>
      <w:r w:rsidRPr="008B33DB">
        <w:rPr>
          <w:lang w:val="es-NI"/>
        </w:rPr>
        <w:t xml:space="preserve">mundial. Es clave para proporcionar la gama completa de métodos anticonceptivos, incluyendo </w:t>
      </w:r>
      <w:r w:rsidR="00CB3BA6">
        <w:rPr>
          <w:lang w:val="es-NI"/>
        </w:rPr>
        <w:t xml:space="preserve">los métodos </w:t>
      </w:r>
      <w:r w:rsidR="00CB3BA6" w:rsidRPr="008B33DB">
        <w:rPr>
          <w:lang w:val="es-NI"/>
        </w:rPr>
        <w:t xml:space="preserve">reversibles </w:t>
      </w:r>
      <w:r w:rsidR="00CB3BA6">
        <w:rPr>
          <w:lang w:val="es-NI"/>
        </w:rPr>
        <w:t>d</w:t>
      </w:r>
      <w:r w:rsidR="006704FA">
        <w:rPr>
          <w:lang w:val="es-NI"/>
        </w:rPr>
        <w:t>e acción prolongada</w:t>
      </w:r>
      <w:r w:rsidRPr="008B33DB">
        <w:rPr>
          <w:lang w:val="es-NI"/>
        </w:rPr>
        <w:t xml:space="preserve"> (</w:t>
      </w:r>
      <w:r w:rsidR="00CB3BA6">
        <w:rPr>
          <w:lang w:val="es-NI"/>
        </w:rPr>
        <w:t>LARC por sus siglas en inglés</w:t>
      </w:r>
      <w:r w:rsidRPr="008B33DB">
        <w:rPr>
          <w:lang w:val="es-NI"/>
        </w:rPr>
        <w:t xml:space="preserve">) en el contexto de los servicios </w:t>
      </w:r>
      <w:r w:rsidR="007B7557">
        <w:rPr>
          <w:lang w:val="es-NI"/>
        </w:rPr>
        <w:t xml:space="preserve">adaptados </w:t>
      </w:r>
      <w:r w:rsidR="00CB3BA6">
        <w:rPr>
          <w:lang w:val="es-NI"/>
        </w:rPr>
        <w:t>a los</w:t>
      </w:r>
      <w:r w:rsidRPr="008B33DB">
        <w:rPr>
          <w:lang w:val="es-NI"/>
        </w:rPr>
        <w:t xml:space="preserve"> jóvenes. </w:t>
      </w:r>
      <w:r w:rsidR="007B7557">
        <w:rPr>
          <w:lang w:val="es-NI"/>
        </w:rPr>
        <w:t xml:space="preserve"> </w:t>
      </w:r>
      <w:r w:rsidR="00CB3BA6">
        <w:rPr>
          <w:lang w:val="es-NI"/>
        </w:rPr>
        <w:t xml:space="preserve">La </w:t>
      </w:r>
      <w:r w:rsidRPr="008B33DB">
        <w:rPr>
          <w:lang w:val="es-NI"/>
        </w:rPr>
        <w:t xml:space="preserve">FP2020 </w:t>
      </w:r>
      <w:r w:rsidR="00CB3BA6">
        <w:rPr>
          <w:lang w:val="es-NI"/>
        </w:rPr>
        <w:t>D</w:t>
      </w:r>
      <w:r w:rsidRPr="008B33DB">
        <w:rPr>
          <w:lang w:val="es-NI"/>
        </w:rPr>
        <w:t xml:space="preserve">eclaración de </w:t>
      </w:r>
      <w:r w:rsidR="00D50E97">
        <w:rPr>
          <w:lang w:val="es-NI"/>
        </w:rPr>
        <w:t>C</w:t>
      </w:r>
      <w:r w:rsidRPr="008B33DB">
        <w:rPr>
          <w:lang w:val="es-NI"/>
        </w:rPr>
        <w:t xml:space="preserve">onsenso </w:t>
      </w:r>
      <w:r w:rsidR="00CB3BA6" w:rsidRPr="008B33DB">
        <w:rPr>
          <w:lang w:val="es-NI"/>
        </w:rPr>
        <w:t xml:space="preserve">Global </w:t>
      </w:r>
      <w:r w:rsidRPr="008B33DB">
        <w:rPr>
          <w:lang w:val="es-NI"/>
        </w:rPr>
        <w:t xml:space="preserve">sobre </w:t>
      </w:r>
      <w:r w:rsidR="00CB3BA6">
        <w:rPr>
          <w:lang w:val="es-NI"/>
        </w:rPr>
        <w:t>LARC</w:t>
      </w:r>
      <w:r w:rsidRPr="008B33DB">
        <w:rPr>
          <w:lang w:val="es-NI"/>
        </w:rPr>
        <w:t xml:space="preserve"> y la juventud, </w:t>
      </w:r>
      <w:r w:rsidR="00125ED5">
        <w:rPr>
          <w:lang w:val="es-NI"/>
        </w:rPr>
        <w:t>promulgada</w:t>
      </w:r>
      <w:r w:rsidRPr="008B33DB">
        <w:rPr>
          <w:lang w:val="es-NI"/>
        </w:rPr>
        <w:t xml:space="preserve"> en octubre de 2015, destaca cómo puede hacer</w:t>
      </w:r>
      <w:r w:rsidR="00CB3BA6">
        <w:rPr>
          <w:lang w:val="es-NI"/>
        </w:rPr>
        <w:t>se</w:t>
      </w:r>
      <w:r w:rsidRPr="008B33DB">
        <w:rPr>
          <w:lang w:val="es-NI"/>
        </w:rPr>
        <w:t>.  L</w:t>
      </w:r>
      <w:r w:rsidR="00CB3BA6">
        <w:rPr>
          <w:lang w:val="es-NI"/>
        </w:rPr>
        <w:t>a Declaración de Consenso señala qu</w:t>
      </w:r>
      <w:r w:rsidRPr="008B33DB">
        <w:rPr>
          <w:lang w:val="es-NI"/>
        </w:rPr>
        <w:t xml:space="preserve">e garantizar el acceso de los jóvenes </w:t>
      </w:r>
      <w:r w:rsidR="00197BD2">
        <w:rPr>
          <w:lang w:val="es-NI"/>
        </w:rPr>
        <w:t>a</w:t>
      </w:r>
      <w:r w:rsidR="00CB3BA6">
        <w:rPr>
          <w:lang w:val="es-NI"/>
        </w:rPr>
        <w:t xml:space="preserve"> LARC</w:t>
      </w:r>
      <w:r w:rsidRPr="008B33DB">
        <w:rPr>
          <w:lang w:val="es-NI"/>
        </w:rPr>
        <w:t xml:space="preserve"> contribuirá a prevenir embarazos no deseados, reducir </w:t>
      </w:r>
      <w:r w:rsidR="00197BD2">
        <w:rPr>
          <w:lang w:val="es-NI"/>
        </w:rPr>
        <w:t xml:space="preserve">la </w:t>
      </w:r>
      <w:r w:rsidR="00197BD2" w:rsidRPr="008B33DB">
        <w:rPr>
          <w:lang w:val="es-NI"/>
        </w:rPr>
        <w:t xml:space="preserve">morbilidad </w:t>
      </w:r>
      <w:r w:rsidR="003F4F54" w:rsidRPr="008B33DB">
        <w:rPr>
          <w:lang w:val="es-NI"/>
        </w:rPr>
        <w:t xml:space="preserve">y mortalidad </w:t>
      </w:r>
      <w:r w:rsidRPr="008B33DB">
        <w:rPr>
          <w:lang w:val="es-NI"/>
        </w:rPr>
        <w:t>matern</w:t>
      </w:r>
      <w:r w:rsidR="003F4F54">
        <w:rPr>
          <w:lang w:val="es-NI"/>
        </w:rPr>
        <w:t>o in</w:t>
      </w:r>
      <w:r w:rsidRPr="008B33DB">
        <w:rPr>
          <w:lang w:val="es-NI"/>
        </w:rPr>
        <w:t>fantil, disminu</w:t>
      </w:r>
      <w:r w:rsidR="00197BD2">
        <w:rPr>
          <w:lang w:val="es-NI"/>
        </w:rPr>
        <w:t xml:space="preserve">ir los </w:t>
      </w:r>
      <w:r w:rsidRPr="008B33DB">
        <w:rPr>
          <w:lang w:val="es-NI"/>
        </w:rPr>
        <w:t xml:space="preserve">abortos inseguros y asegurar </w:t>
      </w:r>
      <w:r w:rsidR="00197BD2">
        <w:rPr>
          <w:lang w:val="es-NI"/>
        </w:rPr>
        <w:t xml:space="preserve">todas las opciones </w:t>
      </w:r>
      <w:r w:rsidR="00197BD2" w:rsidRPr="008B33DB">
        <w:rPr>
          <w:lang w:val="es-NI"/>
        </w:rPr>
        <w:t>anticonceptiva</w:t>
      </w:r>
      <w:r w:rsidR="00197BD2">
        <w:rPr>
          <w:lang w:val="es-NI"/>
        </w:rPr>
        <w:t xml:space="preserve">s e información </w:t>
      </w:r>
      <w:r w:rsidRPr="008B33DB">
        <w:rPr>
          <w:lang w:val="es-NI"/>
        </w:rPr>
        <w:t>para la juventud (v</w:t>
      </w:r>
      <w:r w:rsidR="005A1923">
        <w:rPr>
          <w:lang w:val="es-NI"/>
        </w:rPr>
        <w:t>er</w:t>
      </w:r>
      <w:r w:rsidRPr="008B33DB">
        <w:rPr>
          <w:lang w:val="es-NI"/>
        </w:rPr>
        <w:t xml:space="preserve"> el recuadro 1).</w:t>
      </w:r>
    </w:p>
    <w:p w14:paraId="632F5E02" w14:textId="62798AEB" w:rsidR="008A689D" w:rsidRPr="008A689D" w:rsidRDefault="008B33DB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0"/>
          <w:lang w:val="es-NI"/>
        </w:rPr>
      </w:pPr>
      <w:r w:rsidRPr="008A689D">
        <w:rPr>
          <w:b/>
          <w:sz w:val="20"/>
          <w:lang w:val="es-NI"/>
        </w:rPr>
        <w:t>Recuadro 1</w:t>
      </w:r>
    </w:p>
    <w:p w14:paraId="3DC1A59D" w14:textId="1B93B5F3" w:rsidR="008A689D" w:rsidRDefault="00197BD2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0"/>
          <w:lang w:val="es-NI"/>
        </w:rPr>
      </w:pPr>
      <w:r>
        <w:rPr>
          <w:b/>
          <w:sz w:val="20"/>
          <w:lang w:val="es-NI"/>
        </w:rPr>
        <w:t>Declaración de C</w:t>
      </w:r>
      <w:r w:rsidR="008A689D" w:rsidRPr="008A689D">
        <w:rPr>
          <w:b/>
          <w:sz w:val="20"/>
          <w:lang w:val="es-NI"/>
        </w:rPr>
        <w:t xml:space="preserve">onsenso </w:t>
      </w:r>
      <w:r>
        <w:rPr>
          <w:b/>
          <w:sz w:val="20"/>
          <w:lang w:val="es-NI"/>
        </w:rPr>
        <w:t>G</w:t>
      </w:r>
      <w:r w:rsidR="008A689D" w:rsidRPr="008A689D">
        <w:rPr>
          <w:b/>
          <w:sz w:val="20"/>
          <w:lang w:val="es-NI"/>
        </w:rPr>
        <w:t>lobal</w:t>
      </w:r>
      <w:r w:rsidR="00BC5666" w:rsidRPr="008A689D">
        <w:rPr>
          <w:b/>
          <w:sz w:val="20"/>
          <w:lang w:val="es-NI"/>
        </w:rPr>
        <w:t xml:space="preserve">: </w:t>
      </w:r>
      <w:r w:rsidR="00BC5666">
        <w:rPr>
          <w:b/>
          <w:sz w:val="20"/>
          <w:lang w:val="es-NI"/>
        </w:rPr>
        <w:t>Ampliación</w:t>
      </w:r>
      <w:r w:rsidR="00B3046B">
        <w:rPr>
          <w:b/>
          <w:sz w:val="20"/>
          <w:lang w:val="es-NI"/>
        </w:rPr>
        <w:t xml:space="preserve"> de</w:t>
      </w:r>
      <w:r>
        <w:rPr>
          <w:b/>
          <w:sz w:val="20"/>
          <w:lang w:val="es-NI"/>
        </w:rPr>
        <w:t xml:space="preserve"> las opciones </w:t>
      </w:r>
      <w:r w:rsidR="008A689D" w:rsidRPr="008A689D">
        <w:rPr>
          <w:b/>
          <w:sz w:val="20"/>
          <w:lang w:val="es-NI"/>
        </w:rPr>
        <w:t>anticonceptiva</w:t>
      </w:r>
      <w:r>
        <w:rPr>
          <w:b/>
          <w:sz w:val="20"/>
          <w:lang w:val="es-NI"/>
        </w:rPr>
        <w:t>s</w:t>
      </w:r>
      <w:r w:rsidR="008A689D" w:rsidRPr="008A689D">
        <w:rPr>
          <w:b/>
          <w:sz w:val="20"/>
          <w:lang w:val="es-NI"/>
        </w:rPr>
        <w:t xml:space="preserve"> para </w:t>
      </w:r>
      <w:r>
        <w:rPr>
          <w:b/>
          <w:sz w:val="20"/>
          <w:lang w:val="es-NI"/>
        </w:rPr>
        <w:t xml:space="preserve">los </w:t>
      </w:r>
      <w:r w:rsidR="008A689D" w:rsidRPr="008A689D">
        <w:rPr>
          <w:b/>
          <w:sz w:val="20"/>
          <w:lang w:val="es-NI"/>
        </w:rPr>
        <w:t>adolescentes y jóvenes que incluy</w:t>
      </w:r>
      <w:r>
        <w:rPr>
          <w:b/>
          <w:sz w:val="20"/>
          <w:lang w:val="es-NI"/>
        </w:rPr>
        <w:t>a</w:t>
      </w:r>
      <w:r w:rsidR="00B3046B">
        <w:rPr>
          <w:b/>
          <w:sz w:val="20"/>
          <w:lang w:val="es-NI"/>
        </w:rPr>
        <w:t>n</w:t>
      </w:r>
      <w:r>
        <w:rPr>
          <w:b/>
          <w:sz w:val="20"/>
          <w:lang w:val="es-NI"/>
        </w:rPr>
        <w:t xml:space="preserve"> métodos </w:t>
      </w:r>
      <w:r w:rsidR="008A689D" w:rsidRPr="008A689D">
        <w:rPr>
          <w:b/>
          <w:sz w:val="20"/>
          <w:lang w:val="es-NI"/>
        </w:rPr>
        <w:t>anticoncep</w:t>
      </w:r>
      <w:r>
        <w:rPr>
          <w:b/>
          <w:sz w:val="20"/>
          <w:lang w:val="es-NI"/>
        </w:rPr>
        <w:t xml:space="preserve">tivos </w:t>
      </w:r>
      <w:r w:rsidR="008A689D" w:rsidRPr="008A689D">
        <w:rPr>
          <w:b/>
          <w:sz w:val="20"/>
          <w:lang w:val="es-NI"/>
        </w:rPr>
        <w:t>Reversible</w:t>
      </w:r>
      <w:r>
        <w:rPr>
          <w:b/>
          <w:sz w:val="20"/>
          <w:lang w:val="es-NI"/>
        </w:rPr>
        <w:t>s</w:t>
      </w:r>
      <w:r w:rsidR="008A689D" w:rsidRPr="008A689D">
        <w:rPr>
          <w:b/>
          <w:sz w:val="20"/>
          <w:lang w:val="es-NI"/>
        </w:rPr>
        <w:t xml:space="preserve"> de acción prolongada</w:t>
      </w:r>
    </w:p>
    <w:p w14:paraId="392A520B" w14:textId="77777777" w:rsidR="008A689D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0"/>
          <w:lang w:val="es-NI"/>
        </w:rPr>
      </w:pPr>
    </w:p>
    <w:p w14:paraId="152FCEFC" w14:textId="58514353" w:rsidR="008A689D" w:rsidRPr="00BC5666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0"/>
          <w:lang w:val="es-ES"/>
        </w:rPr>
      </w:pPr>
      <w:r w:rsidRPr="00BC5666">
        <w:rPr>
          <w:i/>
          <w:sz w:val="20"/>
          <w:lang w:val="es-ES"/>
        </w:rPr>
        <w:t xml:space="preserve">Pathfinder International, </w:t>
      </w:r>
      <w:r w:rsidR="00427E37" w:rsidRPr="00BC5666">
        <w:rPr>
          <w:i/>
          <w:sz w:val="20"/>
          <w:lang w:val="es-ES"/>
        </w:rPr>
        <w:t>Evidence 2 Action</w:t>
      </w:r>
      <w:r w:rsidRPr="00BC5666">
        <w:rPr>
          <w:i/>
          <w:sz w:val="20"/>
          <w:lang w:val="es-ES"/>
        </w:rPr>
        <w:t xml:space="preserve"> (E2A), PSI, Marie Stopes International, FHI 360</w:t>
      </w:r>
    </w:p>
    <w:p w14:paraId="540133C8" w14:textId="77777777" w:rsidR="008A689D" w:rsidRPr="00BC5666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i/>
          <w:sz w:val="20"/>
          <w:lang w:val="es-ES"/>
        </w:rPr>
      </w:pPr>
    </w:p>
    <w:p w14:paraId="7B1699B2" w14:textId="7AE92E32" w:rsidR="008A689D" w:rsidRDefault="008C645A" w:rsidP="008A6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sz w:val="20"/>
          <w:lang w:val="es-NI"/>
        </w:rPr>
      </w:pPr>
      <w:r>
        <w:rPr>
          <w:sz w:val="20"/>
          <w:lang w:val="es-NI"/>
        </w:rPr>
        <w:t>Los es</w:t>
      </w:r>
      <w:r w:rsidR="008A689D" w:rsidRPr="008A689D">
        <w:rPr>
          <w:sz w:val="20"/>
          <w:lang w:val="es-NI"/>
        </w:rPr>
        <w:t xml:space="preserve">fuerzos globales para prevenir embarazos no deseados y mejorar </w:t>
      </w:r>
      <w:r w:rsidR="00197BD2">
        <w:rPr>
          <w:sz w:val="20"/>
          <w:lang w:val="es-NI"/>
        </w:rPr>
        <w:t xml:space="preserve">el </w:t>
      </w:r>
      <w:r w:rsidR="008A689D" w:rsidRPr="008A689D">
        <w:rPr>
          <w:sz w:val="20"/>
          <w:lang w:val="es-NI"/>
        </w:rPr>
        <w:t xml:space="preserve">espaciamiento </w:t>
      </w:r>
      <w:r w:rsidR="00197BD2">
        <w:rPr>
          <w:sz w:val="20"/>
          <w:lang w:val="es-NI"/>
        </w:rPr>
        <w:t xml:space="preserve">entre </w:t>
      </w:r>
      <w:r w:rsidR="008A689D" w:rsidRPr="008A689D">
        <w:rPr>
          <w:sz w:val="20"/>
          <w:lang w:val="es-NI"/>
        </w:rPr>
        <w:t>embarazo</w:t>
      </w:r>
      <w:r w:rsidR="00197BD2">
        <w:rPr>
          <w:sz w:val="20"/>
          <w:lang w:val="es-NI"/>
        </w:rPr>
        <w:t xml:space="preserve">s de los </w:t>
      </w:r>
      <w:r w:rsidR="008A689D" w:rsidRPr="008A689D">
        <w:rPr>
          <w:sz w:val="20"/>
          <w:lang w:val="es-NI"/>
        </w:rPr>
        <w:t xml:space="preserve">adolescentes y jóvenes reducirán </w:t>
      </w:r>
      <w:r w:rsidR="00197BD2">
        <w:rPr>
          <w:sz w:val="20"/>
          <w:lang w:val="es-NI"/>
        </w:rPr>
        <w:t xml:space="preserve">la </w:t>
      </w:r>
      <w:r w:rsidR="008A689D" w:rsidRPr="008A689D">
        <w:rPr>
          <w:sz w:val="20"/>
          <w:lang w:val="es-NI"/>
        </w:rPr>
        <w:t>morbilidad y mortalidad</w:t>
      </w:r>
      <w:r w:rsidR="00197BD2">
        <w:rPr>
          <w:sz w:val="20"/>
          <w:lang w:val="es-NI"/>
        </w:rPr>
        <w:t xml:space="preserve"> materno infantil</w:t>
      </w:r>
      <w:r w:rsidR="008A689D" w:rsidRPr="008A689D">
        <w:rPr>
          <w:sz w:val="20"/>
          <w:lang w:val="es-NI"/>
        </w:rPr>
        <w:t xml:space="preserve">, </w:t>
      </w:r>
      <w:r w:rsidR="003F4F54">
        <w:rPr>
          <w:sz w:val="20"/>
          <w:lang w:val="es-NI"/>
        </w:rPr>
        <w:t>reducirán</w:t>
      </w:r>
      <w:r w:rsidR="008A689D" w:rsidRPr="008A689D">
        <w:rPr>
          <w:sz w:val="20"/>
          <w:lang w:val="es-NI"/>
        </w:rPr>
        <w:t xml:space="preserve"> las tasas de aborto inseguro, disminuir</w:t>
      </w:r>
      <w:r w:rsidR="003F4F54">
        <w:rPr>
          <w:sz w:val="20"/>
          <w:lang w:val="es-NI"/>
        </w:rPr>
        <w:t>án la incidencia de VIH/</w:t>
      </w:r>
      <w:r w:rsidR="009E47C4">
        <w:rPr>
          <w:sz w:val="20"/>
          <w:lang w:val="es-NI"/>
        </w:rPr>
        <w:t>I</w:t>
      </w:r>
      <w:r w:rsidR="008A689D" w:rsidRPr="008A689D">
        <w:rPr>
          <w:sz w:val="20"/>
          <w:lang w:val="es-NI"/>
        </w:rPr>
        <w:t>TS, mejorar</w:t>
      </w:r>
      <w:r w:rsidR="003F4F54">
        <w:rPr>
          <w:sz w:val="20"/>
          <w:lang w:val="es-NI"/>
        </w:rPr>
        <w:t>án</w:t>
      </w:r>
      <w:r w:rsidR="008A689D" w:rsidRPr="008A689D">
        <w:rPr>
          <w:sz w:val="20"/>
          <w:lang w:val="es-NI"/>
        </w:rPr>
        <w:t xml:space="preserve"> el estado nutricional, manten</w:t>
      </w:r>
      <w:r w:rsidR="003F4F54">
        <w:rPr>
          <w:sz w:val="20"/>
          <w:lang w:val="es-NI"/>
        </w:rPr>
        <w:t>drán las</w:t>
      </w:r>
      <w:r w:rsidR="008A689D" w:rsidRPr="008A689D">
        <w:rPr>
          <w:sz w:val="20"/>
          <w:lang w:val="es-NI"/>
        </w:rPr>
        <w:t xml:space="preserve"> niñas en la escuela, mejorar</w:t>
      </w:r>
      <w:r w:rsidR="003F4F54">
        <w:rPr>
          <w:sz w:val="20"/>
          <w:lang w:val="es-NI"/>
        </w:rPr>
        <w:t>án</w:t>
      </w:r>
      <w:r w:rsidR="008A689D" w:rsidRPr="008A689D">
        <w:rPr>
          <w:sz w:val="20"/>
          <w:lang w:val="es-NI"/>
        </w:rPr>
        <w:t xml:space="preserve"> las oportunidades económicas y contribuir</w:t>
      </w:r>
      <w:r w:rsidR="003F4F54">
        <w:rPr>
          <w:sz w:val="20"/>
          <w:lang w:val="es-NI"/>
        </w:rPr>
        <w:t>án</w:t>
      </w:r>
      <w:r w:rsidR="008A689D" w:rsidRPr="008A689D">
        <w:rPr>
          <w:sz w:val="20"/>
          <w:lang w:val="es-NI"/>
        </w:rPr>
        <w:t xml:space="preserve"> a alcanzar l</w:t>
      </w:r>
      <w:r w:rsidR="003F4F54">
        <w:rPr>
          <w:sz w:val="20"/>
          <w:lang w:val="es-NI"/>
        </w:rPr>
        <w:t>as Metas</w:t>
      </w:r>
      <w:r w:rsidR="008A689D" w:rsidRPr="008A689D">
        <w:rPr>
          <w:sz w:val="20"/>
          <w:lang w:val="es-NI"/>
        </w:rPr>
        <w:t xml:space="preserve"> de </w:t>
      </w:r>
      <w:r w:rsidR="003F4F54">
        <w:rPr>
          <w:sz w:val="20"/>
          <w:lang w:val="es-NI"/>
        </w:rPr>
        <w:t>D</w:t>
      </w:r>
      <w:r w:rsidR="008A689D" w:rsidRPr="008A689D">
        <w:rPr>
          <w:sz w:val="20"/>
          <w:lang w:val="es-NI"/>
        </w:rPr>
        <w:t xml:space="preserve">esarrollo </w:t>
      </w:r>
      <w:r w:rsidR="003F4F54" w:rsidRPr="00B84C48">
        <w:rPr>
          <w:sz w:val="20"/>
          <w:lang w:val="es-NI"/>
        </w:rPr>
        <w:t>S</w:t>
      </w:r>
      <w:r w:rsidR="008A689D" w:rsidRPr="00B84C48">
        <w:rPr>
          <w:sz w:val="20"/>
          <w:lang w:val="es-NI"/>
        </w:rPr>
        <w:t xml:space="preserve">ostenible. </w:t>
      </w:r>
      <w:r w:rsidR="003F4F54" w:rsidRPr="00B84C48">
        <w:rPr>
          <w:sz w:val="20"/>
          <w:lang w:val="es-NI"/>
        </w:rPr>
        <w:t xml:space="preserve"> </w:t>
      </w:r>
      <w:r w:rsidR="008A689D" w:rsidRPr="00B84C48">
        <w:rPr>
          <w:sz w:val="20"/>
          <w:lang w:val="es-NI"/>
        </w:rPr>
        <w:t xml:space="preserve">Reconocemos y nos comprometemos y </w:t>
      </w:r>
      <w:r w:rsidR="003F4F54" w:rsidRPr="00B84C48">
        <w:rPr>
          <w:sz w:val="20"/>
          <w:lang w:val="es-NI"/>
        </w:rPr>
        <w:t>hacemos un llamado</w:t>
      </w:r>
      <w:r w:rsidR="008A689D" w:rsidRPr="00B84C48">
        <w:rPr>
          <w:sz w:val="20"/>
          <w:lang w:val="es-NI"/>
        </w:rPr>
        <w:t xml:space="preserve"> a todos los programas </w:t>
      </w:r>
      <w:r w:rsidR="003F4F54" w:rsidRPr="00B84C48">
        <w:rPr>
          <w:sz w:val="20"/>
          <w:lang w:val="es-NI"/>
        </w:rPr>
        <w:t xml:space="preserve">que </w:t>
      </w:r>
      <w:r w:rsidR="008A689D" w:rsidRPr="00B84C48">
        <w:rPr>
          <w:sz w:val="20"/>
          <w:lang w:val="es-NI"/>
        </w:rPr>
        <w:t>prom</w:t>
      </w:r>
      <w:r w:rsidR="003F4F54" w:rsidRPr="00B84C48">
        <w:rPr>
          <w:sz w:val="20"/>
          <w:lang w:val="es-NI"/>
        </w:rPr>
        <w:t>ueven</w:t>
      </w:r>
      <w:r w:rsidR="008A689D" w:rsidRPr="00B84C48">
        <w:rPr>
          <w:sz w:val="20"/>
          <w:lang w:val="es-NI"/>
        </w:rPr>
        <w:t xml:space="preserve"> </w:t>
      </w:r>
      <w:r w:rsidR="00BA141E" w:rsidRPr="00B84C48">
        <w:rPr>
          <w:sz w:val="20"/>
          <w:lang w:val="es-NI"/>
        </w:rPr>
        <w:t xml:space="preserve">la </w:t>
      </w:r>
      <w:r w:rsidR="008A689D" w:rsidRPr="00B84C48">
        <w:rPr>
          <w:sz w:val="20"/>
          <w:lang w:val="es-NI"/>
        </w:rPr>
        <w:t xml:space="preserve">salud </w:t>
      </w:r>
      <w:r w:rsidR="00B5120A" w:rsidRPr="00B84C48">
        <w:rPr>
          <w:sz w:val="20"/>
          <w:lang w:val="es-NI"/>
        </w:rPr>
        <w:t xml:space="preserve">y los derechos </w:t>
      </w:r>
      <w:r w:rsidR="008A689D" w:rsidRPr="00B84C48">
        <w:rPr>
          <w:sz w:val="20"/>
          <w:lang w:val="es-NI"/>
        </w:rPr>
        <w:t>sexual</w:t>
      </w:r>
      <w:r w:rsidR="00B5120A" w:rsidRPr="00B84C48">
        <w:rPr>
          <w:sz w:val="20"/>
          <w:lang w:val="es-NI"/>
        </w:rPr>
        <w:t>es</w:t>
      </w:r>
      <w:r w:rsidR="008A689D" w:rsidRPr="00B84C48">
        <w:rPr>
          <w:sz w:val="20"/>
          <w:lang w:val="es-NI"/>
        </w:rPr>
        <w:t xml:space="preserve"> y reproductiv</w:t>
      </w:r>
      <w:r w:rsidR="00B5120A" w:rsidRPr="00B84C48">
        <w:rPr>
          <w:sz w:val="20"/>
          <w:lang w:val="es-NI"/>
        </w:rPr>
        <w:t>os</w:t>
      </w:r>
      <w:r w:rsidR="008A689D" w:rsidRPr="00B84C48">
        <w:rPr>
          <w:sz w:val="20"/>
          <w:lang w:val="es-NI"/>
        </w:rPr>
        <w:t xml:space="preserve"> de </w:t>
      </w:r>
      <w:r w:rsidR="003F4F54" w:rsidRPr="00B84C48">
        <w:rPr>
          <w:sz w:val="20"/>
          <w:lang w:val="es-NI"/>
        </w:rPr>
        <w:t xml:space="preserve">los </w:t>
      </w:r>
      <w:r w:rsidR="008A689D" w:rsidRPr="00B84C48">
        <w:rPr>
          <w:sz w:val="20"/>
          <w:lang w:val="es-NI"/>
        </w:rPr>
        <w:t xml:space="preserve">adolescentes y jóvenes para asegurar </w:t>
      </w:r>
      <w:r w:rsidR="003F4F54" w:rsidRPr="00B84C48">
        <w:rPr>
          <w:sz w:val="20"/>
          <w:lang w:val="es-NI"/>
        </w:rPr>
        <w:t>todas las opciones anticonceptivas</w:t>
      </w:r>
      <w:r w:rsidR="003F4F54">
        <w:rPr>
          <w:sz w:val="20"/>
          <w:lang w:val="es-NI"/>
        </w:rPr>
        <w:t xml:space="preserve"> e información</w:t>
      </w:r>
      <w:r w:rsidR="008A689D" w:rsidRPr="008A689D">
        <w:rPr>
          <w:sz w:val="20"/>
          <w:lang w:val="es-NI"/>
        </w:rPr>
        <w:t xml:space="preserve">, </w:t>
      </w:r>
      <w:r w:rsidR="005D31EE">
        <w:rPr>
          <w:sz w:val="20"/>
          <w:lang w:val="es-NI"/>
        </w:rPr>
        <w:t>a</w:t>
      </w:r>
      <w:r w:rsidR="007D717C">
        <w:rPr>
          <w:sz w:val="20"/>
          <w:lang w:val="es-NI"/>
        </w:rPr>
        <w:t xml:space="preserve"> través de</w:t>
      </w:r>
      <w:r w:rsidR="008A689D" w:rsidRPr="008A689D">
        <w:rPr>
          <w:sz w:val="20"/>
          <w:lang w:val="es-NI"/>
        </w:rPr>
        <w:t>:</w:t>
      </w:r>
      <w:r w:rsidR="00553256">
        <w:rPr>
          <w:sz w:val="20"/>
          <w:lang w:val="es-NI"/>
        </w:rPr>
        <w:t xml:space="preserve"> </w:t>
      </w:r>
    </w:p>
    <w:p w14:paraId="111EB92E" w14:textId="62B2C564" w:rsidR="008A689D" w:rsidRDefault="008A689D" w:rsidP="008A6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sz w:val="20"/>
          <w:lang w:val="es-NI"/>
        </w:rPr>
      </w:pPr>
    </w:p>
    <w:p w14:paraId="23C88066" w14:textId="657E23B4" w:rsidR="00A03549" w:rsidRPr="008A689D" w:rsidRDefault="00A03549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 xml:space="preserve">• </w:t>
      </w:r>
      <w:r w:rsidR="003F4F54">
        <w:rPr>
          <w:sz w:val="20"/>
          <w:lang w:val="es-NI"/>
        </w:rPr>
        <w:t xml:space="preserve">Proveer la más amplia gama de </w:t>
      </w:r>
      <w:r w:rsidR="008A689D" w:rsidRPr="008A689D">
        <w:rPr>
          <w:sz w:val="20"/>
          <w:lang w:val="es-NI"/>
        </w:rPr>
        <w:t>opciones anticonceptivas</w:t>
      </w:r>
      <w:r w:rsidR="003F4F54">
        <w:rPr>
          <w:sz w:val="20"/>
          <w:lang w:val="es-NI"/>
        </w:rPr>
        <w:t xml:space="preserve"> disponible</w:t>
      </w:r>
      <w:r w:rsidR="008A689D" w:rsidRPr="008A689D">
        <w:rPr>
          <w:sz w:val="20"/>
          <w:lang w:val="es-NI"/>
        </w:rPr>
        <w:t xml:space="preserve">, </w:t>
      </w:r>
      <w:r w:rsidR="0078617F">
        <w:rPr>
          <w:sz w:val="20"/>
          <w:lang w:val="es-NI"/>
        </w:rPr>
        <w:t xml:space="preserve">que </w:t>
      </w:r>
      <w:r w:rsidR="008A689D" w:rsidRPr="008A689D">
        <w:rPr>
          <w:sz w:val="20"/>
          <w:lang w:val="es-NI"/>
        </w:rPr>
        <w:t>incluye</w:t>
      </w:r>
      <w:r w:rsidR="00976570">
        <w:rPr>
          <w:sz w:val="20"/>
          <w:lang w:val="es-NI"/>
        </w:rPr>
        <w:t xml:space="preserve">n </w:t>
      </w:r>
      <w:r w:rsidR="008A689D" w:rsidRPr="008A689D">
        <w:rPr>
          <w:sz w:val="20"/>
          <w:lang w:val="es-NI"/>
        </w:rPr>
        <w:t>anticonceptivos reversibles de acción prolongada (</w:t>
      </w:r>
      <w:r w:rsidR="003F4F54">
        <w:rPr>
          <w:sz w:val="20"/>
          <w:lang w:val="es-NI"/>
        </w:rPr>
        <w:t>LARC</w:t>
      </w:r>
      <w:r w:rsidR="008A689D" w:rsidRPr="008A689D">
        <w:rPr>
          <w:sz w:val="20"/>
          <w:lang w:val="es-NI"/>
        </w:rPr>
        <w:t xml:space="preserve">, por ejemplo, implantes anticonceptivos y dispositivos intrauterinos) a todos los </w:t>
      </w:r>
      <w:r w:rsidR="008A689D" w:rsidRPr="008A689D">
        <w:rPr>
          <w:sz w:val="20"/>
          <w:lang w:val="es-NI"/>
        </w:rPr>
        <w:lastRenderedPageBreak/>
        <w:t xml:space="preserve">adolescentes </w:t>
      </w:r>
      <w:r w:rsidR="003F4F54" w:rsidRPr="008A689D">
        <w:rPr>
          <w:sz w:val="20"/>
          <w:lang w:val="es-NI"/>
        </w:rPr>
        <w:t xml:space="preserve">y jóvenes </w:t>
      </w:r>
      <w:r w:rsidR="008A689D" w:rsidRPr="008A689D">
        <w:rPr>
          <w:sz w:val="20"/>
          <w:lang w:val="es-NI"/>
        </w:rPr>
        <w:t>sexualmente activos (</w:t>
      </w:r>
      <w:r w:rsidR="00EA5B1E">
        <w:rPr>
          <w:sz w:val="20"/>
          <w:lang w:val="es-NI"/>
        </w:rPr>
        <w:t xml:space="preserve">desde la </w:t>
      </w:r>
      <w:r w:rsidR="008A689D" w:rsidRPr="008A689D">
        <w:rPr>
          <w:sz w:val="20"/>
          <w:lang w:val="es-NI"/>
        </w:rPr>
        <w:t xml:space="preserve">menarquía </w:t>
      </w:r>
      <w:r w:rsidR="00EA5B1E">
        <w:rPr>
          <w:sz w:val="20"/>
          <w:lang w:val="es-NI"/>
        </w:rPr>
        <w:t xml:space="preserve">hasta </w:t>
      </w:r>
      <w:r w:rsidR="008A689D" w:rsidRPr="008A689D">
        <w:rPr>
          <w:sz w:val="20"/>
          <w:lang w:val="es-NI"/>
        </w:rPr>
        <w:t>los 24 años), independientemente del estado civil y paridad.</w:t>
      </w:r>
      <w:r w:rsidR="003F4F54">
        <w:rPr>
          <w:sz w:val="20"/>
          <w:lang w:val="es-NI"/>
        </w:rPr>
        <w:t xml:space="preserve"> </w:t>
      </w:r>
    </w:p>
    <w:p w14:paraId="06A53C4A" w14:textId="2A8EA818" w:rsid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 xml:space="preserve">• Asegurar </w:t>
      </w:r>
      <w:r w:rsidR="005D31EE">
        <w:rPr>
          <w:sz w:val="20"/>
          <w:lang w:val="es-NI"/>
        </w:rPr>
        <w:t>la oferta y disponibilidad de LARC</w:t>
      </w:r>
      <w:r w:rsidRPr="008A689D">
        <w:rPr>
          <w:sz w:val="20"/>
          <w:lang w:val="es-NI"/>
        </w:rPr>
        <w:t xml:space="preserve"> entre las opciones anticonceptivas esenciales, </w:t>
      </w:r>
      <w:r w:rsidR="005D31EE">
        <w:rPr>
          <w:sz w:val="20"/>
          <w:lang w:val="es-NI"/>
        </w:rPr>
        <w:t xml:space="preserve">durante la </w:t>
      </w:r>
      <w:r w:rsidR="005D31EE" w:rsidRPr="008A689D">
        <w:rPr>
          <w:sz w:val="20"/>
          <w:lang w:val="es-NI"/>
        </w:rPr>
        <w:t xml:space="preserve">educación sobre </w:t>
      </w:r>
      <w:r w:rsidR="005D31EE">
        <w:rPr>
          <w:sz w:val="20"/>
          <w:lang w:val="es-NI"/>
        </w:rPr>
        <w:t xml:space="preserve">métodos </w:t>
      </w:r>
      <w:r w:rsidR="005D31EE" w:rsidRPr="008A689D">
        <w:rPr>
          <w:sz w:val="20"/>
          <w:lang w:val="es-NI"/>
        </w:rPr>
        <w:t>anticoncep</w:t>
      </w:r>
      <w:r w:rsidR="005D31EE">
        <w:rPr>
          <w:sz w:val="20"/>
          <w:lang w:val="es-NI"/>
        </w:rPr>
        <w:t>tivos, consejería y</w:t>
      </w:r>
      <w:r w:rsidRPr="008A689D">
        <w:rPr>
          <w:sz w:val="20"/>
          <w:lang w:val="es-NI"/>
        </w:rPr>
        <w:t xml:space="preserve"> servicios.</w:t>
      </w:r>
    </w:p>
    <w:p w14:paraId="3ED62E95" w14:textId="7CD25223" w:rsidR="00A03549" w:rsidRPr="000077CF" w:rsidRDefault="00A03549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0C6706">
        <w:rPr>
          <w:sz w:val="20"/>
          <w:lang w:val="es-NI"/>
        </w:rPr>
        <w:t xml:space="preserve">• </w:t>
      </w:r>
      <w:r w:rsidR="008A689D" w:rsidRPr="000C6706">
        <w:rPr>
          <w:sz w:val="20"/>
          <w:lang w:val="es-NI"/>
        </w:rPr>
        <w:t>Proporciona</w:t>
      </w:r>
      <w:r w:rsidR="005D31EE" w:rsidRPr="000C6706">
        <w:rPr>
          <w:sz w:val="20"/>
          <w:lang w:val="es-NI"/>
        </w:rPr>
        <w:t>r</w:t>
      </w:r>
      <w:r w:rsidR="008A689D" w:rsidRPr="000C6706">
        <w:rPr>
          <w:sz w:val="20"/>
          <w:lang w:val="es-NI"/>
        </w:rPr>
        <w:t xml:space="preserve"> información</w:t>
      </w:r>
      <w:r w:rsidR="005D31EE" w:rsidRPr="000C6706">
        <w:rPr>
          <w:sz w:val="20"/>
          <w:lang w:val="es-NI"/>
        </w:rPr>
        <w:t xml:space="preserve"> basada en la evidencia a los legisladores</w:t>
      </w:r>
      <w:r w:rsidR="008A689D" w:rsidRPr="000C6706">
        <w:rPr>
          <w:sz w:val="20"/>
          <w:lang w:val="es-NI"/>
        </w:rPr>
        <w:t>, representantes del Ministerio, directores de programas, proveedores de servicios, comunidades, miembros de la familia</w:t>
      </w:r>
      <w:r w:rsidR="000C6706" w:rsidRPr="000C6706">
        <w:rPr>
          <w:sz w:val="20"/>
          <w:lang w:val="es-NI"/>
        </w:rPr>
        <w:t>,</w:t>
      </w:r>
      <w:r w:rsidR="008A689D" w:rsidRPr="000C6706">
        <w:rPr>
          <w:sz w:val="20"/>
          <w:lang w:val="es-NI"/>
        </w:rPr>
        <w:t xml:space="preserve"> adolescentes y jóvenes sobre la seguridad, eficacia, reversibilidad, rentabilidad, aceptabilidad, tasas de continuación y los beneficios </w:t>
      </w:r>
      <w:r w:rsidR="000D6CCE">
        <w:rPr>
          <w:sz w:val="20"/>
          <w:lang w:val="es-NI"/>
        </w:rPr>
        <w:t xml:space="preserve">a </w:t>
      </w:r>
      <w:r w:rsidR="00726750">
        <w:rPr>
          <w:sz w:val="20"/>
          <w:lang w:val="es-NI"/>
        </w:rPr>
        <w:t xml:space="preserve">la salud así como los </w:t>
      </w:r>
      <w:r w:rsidR="000C6706" w:rsidRPr="000C6706">
        <w:rPr>
          <w:sz w:val="20"/>
          <w:lang w:val="es-NI"/>
        </w:rPr>
        <w:t xml:space="preserve">no relacionados </w:t>
      </w:r>
      <w:r w:rsidR="00726750">
        <w:rPr>
          <w:sz w:val="20"/>
          <w:lang w:val="es-NI"/>
        </w:rPr>
        <w:t>a la misma</w:t>
      </w:r>
      <w:r w:rsidR="008A689D" w:rsidRPr="000C6706">
        <w:rPr>
          <w:sz w:val="20"/>
          <w:lang w:val="es-NI"/>
        </w:rPr>
        <w:t xml:space="preserve"> de </w:t>
      </w:r>
      <w:r w:rsidR="000C6706" w:rsidRPr="000C6706">
        <w:rPr>
          <w:sz w:val="20"/>
          <w:lang w:val="es-NI"/>
        </w:rPr>
        <w:t xml:space="preserve">las </w:t>
      </w:r>
      <w:r w:rsidR="008A689D" w:rsidRPr="000C6706">
        <w:rPr>
          <w:sz w:val="20"/>
          <w:lang w:val="es-NI"/>
        </w:rPr>
        <w:t xml:space="preserve">opciones anticonceptivas, </w:t>
      </w:r>
      <w:r w:rsidR="000C6706" w:rsidRPr="000C6706">
        <w:rPr>
          <w:sz w:val="20"/>
          <w:lang w:val="es-NI"/>
        </w:rPr>
        <w:t>que incluyen LARC</w:t>
      </w:r>
      <w:r w:rsidR="008A689D" w:rsidRPr="000C6706">
        <w:rPr>
          <w:sz w:val="20"/>
          <w:lang w:val="es-NI"/>
        </w:rPr>
        <w:t xml:space="preserve">, para adolescentes </w:t>
      </w:r>
      <w:r w:rsidR="000C6706" w:rsidRPr="000C6706">
        <w:rPr>
          <w:sz w:val="20"/>
          <w:lang w:val="es-NI"/>
        </w:rPr>
        <w:t xml:space="preserve">y jóvenes </w:t>
      </w:r>
      <w:r w:rsidR="008A689D" w:rsidRPr="000C6706">
        <w:rPr>
          <w:sz w:val="20"/>
          <w:lang w:val="es-NI"/>
        </w:rPr>
        <w:t xml:space="preserve">sexualmente activos que </w:t>
      </w:r>
      <w:r w:rsidR="008A689D" w:rsidRPr="000077CF">
        <w:rPr>
          <w:sz w:val="20"/>
          <w:lang w:val="es-NI"/>
        </w:rPr>
        <w:t xml:space="preserve">quieren evitar, retrasar o </w:t>
      </w:r>
      <w:r w:rsidR="000C6706" w:rsidRPr="000077CF">
        <w:rPr>
          <w:sz w:val="20"/>
          <w:lang w:val="es-NI"/>
        </w:rPr>
        <w:t xml:space="preserve">espaciar </w:t>
      </w:r>
      <w:r w:rsidR="000077CF" w:rsidRPr="000077CF">
        <w:rPr>
          <w:sz w:val="20"/>
          <w:lang w:val="es-NI"/>
        </w:rPr>
        <w:t xml:space="preserve">los </w:t>
      </w:r>
      <w:r w:rsidR="008A689D" w:rsidRPr="000077CF">
        <w:rPr>
          <w:sz w:val="20"/>
          <w:lang w:val="es-NI"/>
        </w:rPr>
        <w:t>embarazo</w:t>
      </w:r>
      <w:r w:rsidR="000077CF" w:rsidRPr="000077CF">
        <w:rPr>
          <w:sz w:val="20"/>
          <w:lang w:val="es-NI"/>
        </w:rPr>
        <w:t>s</w:t>
      </w:r>
      <w:r w:rsidR="008A689D" w:rsidRPr="000077CF">
        <w:rPr>
          <w:sz w:val="20"/>
          <w:lang w:val="es-NI"/>
        </w:rPr>
        <w:t>.</w:t>
      </w:r>
    </w:p>
    <w:p w14:paraId="5F4CCC4A" w14:textId="51F93E7D" w:rsidR="00E26148" w:rsidRPr="008D594D" w:rsidRDefault="008A689D" w:rsidP="00E26148">
      <w:pPr>
        <w:rPr>
          <w:b/>
          <w:lang w:val="es-NI"/>
        </w:rPr>
      </w:pPr>
      <w:r w:rsidRPr="000077CF">
        <w:rPr>
          <w:b/>
          <w:lang w:val="es-NI"/>
        </w:rPr>
        <w:t xml:space="preserve">Desafíos y necesidad </w:t>
      </w:r>
      <w:r w:rsidR="009916BD" w:rsidRPr="000077CF">
        <w:rPr>
          <w:b/>
          <w:lang w:val="es-NI"/>
        </w:rPr>
        <w:t>in</w:t>
      </w:r>
      <w:r w:rsidRPr="000077CF">
        <w:rPr>
          <w:b/>
          <w:lang w:val="es-NI"/>
        </w:rPr>
        <w:t>satisfecha</w:t>
      </w:r>
    </w:p>
    <w:p w14:paraId="20462D78" w14:textId="047F0893" w:rsidR="00E26148" w:rsidRPr="008A689D" w:rsidRDefault="008A689D" w:rsidP="008A689D">
      <w:pPr>
        <w:jc w:val="both"/>
        <w:rPr>
          <w:lang w:val="es-NI"/>
        </w:rPr>
      </w:pPr>
      <w:r w:rsidRPr="008A689D">
        <w:rPr>
          <w:lang w:val="es-NI"/>
        </w:rPr>
        <w:t>Existen m</w:t>
      </w:r>
      <w:r w:rsidR="000C6706">
        <w:rPr>
          <w:lang w:val="es-NI"/>
        </w:rPr>
        <w:t xml:space="preserve">últiples desafíos para abordar </w:t>
      </w:r>
      <w:r w:rsidR="00CC098D">
        <w:rPr>
          <w:lang w:val="es-NI"/>
        </w:rPr>
        <w:t>la</w:t>
      </w:r>
      <w:r w:rsidR="00EE04A0">
        <w:rPr>
          <w:lang w:val="es-NI"/>
        </w:rPr>
        <w:t xml:space="preserve"> </w:t>
      </w:r>
      <w:r w:rsidR="002778D9">
        <w:rPr>
          <w:lang w:val="es-NI"/>
        </w:rPr>
        <w:t>s</w:t>
      </w:r>
      <w:r w:rsidRPr="008A689D">
        <w:rPr>
          <w:lang w:val="es-NI"/>
        </w:rPr>
        <w:t xml:space="preserve">alud </w:t>
      </w:r>
      <w:r w:rsidR="00CC098D">
        <w:rPr>
          <w:lang w:val="es-NI"/>
        </w:rPr>
        <w:t xml:space="preserve">y </w:t>
      </w:r>
      <w:r w:rsidR="00BC6221">
        <w:rPr>
          <w:lang w:val="es-NI"/>
        </w:rPr>
        <w:t xml:space="preserve">los </w:t>
      </w:r>
      <w:r w:rsidR="00CC098D">
        <w:rPr>
          <w:lang w:val="es-NI"/>
        </w:rPr>
        <w:t xml:space="preserve">derechos </w:t>
      </w:r>
      <w:r w:rsidR="002778D9">
        <w:rPr>
          <w:lang w:val="es-NI"/>
        </w:rPr>
        <w:t>s</w:t>
      </w:r>
      <w:r w:rsidRPr="008A689D">
        <w:rPr>
          <w:lang w:val="es-NI"/>
        </w:rPr>
        <w:t>exual</w:t>
      </w:r>
      <w:r w:rsidR="00CC098D">
        <w:rPr>
          <w:lang w:val="es-NI"/>
        </w:rPr>
        <w:t>es</w:t>
      </w:r>
      <w:r w:rsidRPr="008A689D">
        <w:rPr>
          <w:lang w:val="es-NI"/>
        </w:rPr>
        <w:t xml:space="preserve"> y </w:t>
      </w:r>
      <w:r w:rsidR="002778D9">
        <w:rPr>
          <w:lang w:val="es-NI"/>
        </w:rPr>
        <w:t>r</w:t>
      </w:r>
      <w:r w:rsidRPr="008A689D">
        <w:rPr>
          <w:lang w:val="es-NI"/>
        </w:rPr>
        <w:t>eproductiv</w:t>
      </w:r>
      <w:r w:rsidR="00CC098D">
        <w:rPr>
          <w:lang w:val="es-NI"/>
        </w:rPr>
        <w:t>os</w:t>
      </w:r>
      <w:r w:rsidRPr="008A689D">
        <w:rPr>
          <w:lang w:val="es-NI"/>
        </w:rPr>
        <w:t xml:space="preserve"> de </w:t>
      </w:r>
      <w:r w:rsidR="00EE04A0">
        <w:rPr>
          <w:lang w:val="es-NI"/>
        </w:rPr>
        <w:t xml:space="preserve">los </w:t>
      </w:r>
      <w:r w:rsidRPr="008A689D">
        <w:rPr>
          <w:lang w:val="es-NI"/>
        </w:rPr>
        <w:t xml:space="preserve">jóvenes (SDSR).  Muchas niñas y mujeres jóvenes se ven obligadas </w:t>
      </w:r>
      <w:r w:rsidR="006E6507">
        <w:rPr>
          <w:lang w:val="es-NI"/>
        </w:rPr>
        <w:t>a casarse a temprana edad</w:t>
      </w:r>
      <w:r w:rsidRPr="008A689D">
        <w:rPr>
          <w:lang w:val="es-NI"/>
        </w:rPr>
        <w:t xml:space="preserve"> y la </w:t>
      </w:r>
      <w:r w:rsidR="006E6507" w:rsidRPr="008A689D">
        <w:rPr>
          <w:lang w:val="es-NI"/>
        </w:rPr>
        <w:t>maternidad precoz</w:t>
      </w:r>
      <w:r w:rsidRPr="008A689D">
        <w:rPr>
          <w:lang w:val="es-NI"/>
        </w:rPr>
        <w:t xml:space="preserve">, especialmente en los países en </w:t>
      </w:r>
      <w:r w:rsidR="006E6507">
        <w:rPr>
          <w:lang w:val="es-NI"/>
        </w:rPr>
        <w:t xml:space="preserve">vías de </w:t>
      </w:r>
      <w:r w:rsidRPr="008A689D">
        <w:rPr>
          <w:lang w:val="es-NI"/>
        </w:rPr>
        <w:t xml:space="preserve">desarrollo </w:t>
      </w:r>
      <w:r w:rsidR="00DE33F8">
        <w:rPr>
          <w:lang w:val="es-NI"/>
        </w:rPr>
        <w:t>en d</w:t>
      </w:r>
      <w:r w:rsidRPr="008A689D">
        <w:rPr>
          <w:lang w:val="es-NI"/>
        </w:rPr>
        <w:t>onde las normas sociales</w:t>
      </w:r>
      <w:r w:rsidR="00DE33F8">
        <w:rPr>
          <w:lang w:val="es-NI"/>
        </w:rPr>
        <w:t xml:space="preserve"> lo imponen</w:t>
      </w:r>
      <w:r w:rsidRPr="008A689D">
        <w:rPr>
          <w:lang w:val="es-NI"/>
        </w:rPr>
        <w:t xml:space="preserve">. </w:t>
      </w:r>
      <w:r w:rsidR="006E6507">
        <w:rPr>
          <w:lang w:val="es-NI"/>
        </w:rPr>
        <w:t xml:space="preserve"> El m</w:t>
      </w:r>
      <w:r w:rsidRPr="008A689D">
        <w:rPr>
          <w:lang w:val="es-NI"/>
        </w:rPr>
        <w:t xml:space="preserve">atrimonio </w:t>
      </w:r>
      <w:r w:rsidR="006E6507">
        <w:rPr>
          <w:lang w:val="es-NI"/>
        </w:rPr>
        <w:t xml:space="preserve">a temprana edad y </w:t>
      </w:r>
      <w:r w:rsidR="006E6507" w:rsidRPr="008A689D">
        <w:rPr>
          <w:lang w:val="es-NI"/>
        </w:rPr>
        <w:t xml:space="preserve">maternidad </w:t>
      </w:r>
      <w:r w:rsidRPr="008A689D">
        <w:rPr>
          <w:lang w:val="es-NI"/>
        </w:rPr>
        <w:t xml:space="preserve">precoz no sólo </w:t>
      </w:r>
      <w:r w:rsidR="00FE2B04">
        <w:rPr>
          <w:lang w:val="es-NI"/>
        </w:rPr>
        <w:t>trunca</w:t>
      </w:r>
      <w:r w:rsidRPr="008A689D">
        <w:rPr>
          <w:lang w:val="es-NI"/>
        </w:rPr>
        <w:t xml:space="preserve"> la educación de una joven y limitan su compromiso social, </w:t>
      </w:r>
      <w:r w:rsidR="00ED36E5">
        <w:rPr>
          <w:lang w:val="es-NI"/>
        </w:rPr>
        <w:t xml:space="preserve">sino también </w:t>
      </w:r>
      <w:r w:rsidRPr="008A689D">
        <w:rPr>
          <w:lang w:val="es-NI"/>
        </w:rPr>
        <w:t xml:space="preserve">llevan </w:t>
      </w:r>
      <w:r w:rsidR="00ED36E5">
        <w:rPr>
          <w:lang w:val="es-NI"/>
        </w:rPr>
        <w:t>consigo graves riesgos para la madre e hijo</w:t>
      </w:r>
      <w:r w:rsidRPr="008A689D">
        <w:rPr>
          <w:lang w:val="es-NI"/>
        </w:rPr>
        <w:t>.</w:t>
      </w:r>
      <w:r w:rsidR="00ED36E5">
        <w:rPr>
          <w:lang w:val="es-NI"/>
        </w:rPr>
        <w:t xml:space="preserve"> </w:t>
      </w:r>
      <w:r w:rsidRPr="008A689D">
        <w:rPr>
          <w:lang w:val="es-NI"/>
        </w:rPr>
        <w:t xml:space="preserve"> Las mujeres jóvenes, especialmente aquell</w:t>
      </w:r>
      <w:r w:rsidR="00ED36E5">
        <w:rPr>
          <w:lang w:val="es-NI"/>
        </w:rPr>
        <w:t>a</w:t>
      </w:r>
      <w:r w:rsidRPr="008A689D">
        <w:rPr>
          <w:lang w:val="es-NI"/>
        </w:rPr>
        <w:t xml:space="preserve">s que </w:t>
      </w:r>
      <w:r w:rsidR="00ED36E5">
        <w:rPr>
          <w:lang w:val="es-NI"/>
        </w:rPr>
        <w:t xml:space="preserve">no </w:t>
      </w:r>
      <w:r w:rsidRPr="008A689D">
        <w:rPr>
          <w:lang w:val="es-NI"/>
        </w:rPr>
        <w:t>están casad</w:t>
      </w:r>
      <w:r w:rsidR="007676A8">
        <w:rPr>
          <w:lang w:val="es-NI"/>
        </w:rPr>
        <w:t>a</w:t>
      </w:r>
      <w:r w:rsidRPr="008A689D">
        <w:rPr>
          <w:lang w:val="es-NI"/>
        </w:rPr>
        <w:t xml:space="preserve">s, también enfrentan a un riesgo importante de </w:t>
      </w:r>
      <w:r w:rsidR="00ED36E5">
        <w:rPr>
          <w:lang w:val="es-NI"/>
        </w:rPr>
        <w:t xml:space="preserve">tener </w:t>
      </w:r>
      <w:r w:rsidRPr="008A689D">
        <w:rPr>
          <w:lang w:val="es-NI"/>
        </w:rPr>
        <w:t>aborto</w:t>
      </w:r>
      <w:r w:rsidR="00ED36E5">
        <w:rPr>
          <w:lang w:val="es-NI"/>
        </w:rPr>
        <w:t>s</w:t>
      </w:r>
      <w:r w:rsidRPr="008A689D">
        <w:rPr>
          <w:lang w:val="es-NI"/>
        </w:rPr>
        <w:t xml:space="preserve"> inseguro</w:t>
      </w:r>
      <w:r w:rsidR="00ED36E5">
        <w:rPr>
          <w:lang w:val="es-NI"/>
        </w:rPr>
        <w:t>s</w:t>
      </w:r>
      <w:r w:rsidR="00E26148">
        <w:rPr>
          <w:rStyle w:val="EndnoteReference"/>
        </w:rPr>
        <w:endnoteReference w:id="5"/>
      </w:r>
      <w:r>
        <w:rPr>
          <w:lang w:val="es-NI"/>
        </w:rPr>
        <w:t>.</w:t>
      </w:r>
      <w:r w:rsidRPr="008A689D">
        <w:rPr>
          <w:lang w:val="es-NI"/>
        </w:rPr>
        <w:t xml:space="preserve"> Por ejemplo, en África </w:t>
      </w:r>
      <w:r w:rsidR="00ED36E5">
        <w:rPr>
          <w:lang w:val="es-NI"/>
        </w:rPr>
        <w:t>S</w:t>
      </w:r>
      <w:r w:rsidRPr="008A689D">
        <w:rPr>
          <w:lang w:val="es-NI"/>
        </w:rPr>
        <w:t xml:space="preserve">ubsahariana, las mujeres menores de 25 años representan el 51% de los abortos </w:t>
      </w:r>
      <w:r w:rsidR="00BC5666" w:rsidRPr="008A689D">
        <w:rPr>
          <w:lang w:val="es-NI"/>
        </w:rPr>
        <w:t>inseguros</w:t>
      </w:r>
      <w:r w:rsidR="00E26148">
        <w:rPr>
          <w:rStyle w:val="EndnoteReference"/>
        </w:rPr>
        <w:endnoteReference w:id="6"/>
      </w:r>
      <w:r w:rsidRPr="008A689D">
        <w:rPr>
          <w:lang w:val="es-NI"/>
        </w:rPr>
        <w:t>.</w:t>
      </w:r>
      <w:r w:rsidR="00E26148" w:rsidRPr="008A689D">
        <w:rPr>
          <w:lang w:val="es-NI"/>
        </w:rPr>
        <w:t xml:space="preserve">  </w:t>
      </w:r>
    </w:p>
    <w:p w14:paraId="35787369" w14:textId="6C7A2A61" w:rsidR="008A689D" w:rsidRPr="008D594D" w:rsidRDefault="00540269" w:rsidP="008A689D">
      <w:pPr>
        <w:jc w:val="both"/>
        <w:rPr>
          <w:lang w:val="es-NI"/>
        </w:rPr>
      </w:pPr>
      <w:r>
        <w:rPr>
          <w:lang w:val="es-NI"/>
        </w:rPr>
        <w:t>No obstante,</w:t>
      </w:r>
      <w:r w:rsidR="00C40B70">
        <w:rPr>
          <w:lang w:val="es-NI"/>
        </w:rPr>
        <w:t xml:space="preserve"> muchos jóvenes desean tener control de </w:t>
      </w:r>
      <w:r w:rsidR="008A689D" w:rsidRPr="008A689D">
        <w:rPr>
          <w:lang w:val="es-NI"/>
        </w:rPr>
        <w:t xml:space="preserve">su fertilidad. </w:t>
      </w:r>
      <w:r w:rsidR="00C40B70">
        <w:rPr>
          <w:lang w:val="es-NI"/>
        </w:rPr>
        <w:t xml:space="preserve"> </w:t>
      </w:r>
      <w:r w:rsidR="008A689D" w:rsidRPr="008A689D">
        <w:rPr>
          <w:lang w:val="es-NI"/>
        </w:rPr>
        <w:t xml:space="preserve">Según la </w:t>
      </w:r>
      <w:r w:rsidR="00C40B70" w:rsidRPr="008A689D">
        <w:rPr>
          <w:lang w:val="es-NI"/>
        </w:rPr>
        <w:t xml:space="preserve">encuesta </w:t>
      </w:r>
      <w:r w:rsidR="00C40B70">
        <w:rPr>
          <w:lang w:val="es-NI"/>
        </w:rPr>
        <w:t>demográfica y de salud del</w:t>
      </w:r>
      <w:r w:rsidR="008A689D" w:rsidRPr="008A689D">
        <w:rPr>
          <w:lang w:val="es-NI"/>
        </w:rPr>
        <w:t xml:space="preserve"> 2011 en Etiopía, en general más de un cuarto de las mujeres en edad reproductiva (26.3</w:t>
      </w:r>
      <w:r w:rsidR="005A1923">
        <w:rPr>
          <w:lang w:val="es-NI"/>
        </w:rPr>
        <w:t>%</w:t>
      </w:r>
      <w:r w:rsidR="008A689D" w:rsidRPr="008A689D">
        <w:rPr>
          <w:lang w:val="es-NI"/>
        </w:rPr>
        <w:t xml:space="preserve">) tienen necesidad insatisfecha de planificación familiar — </w:t>
      </w:r>
      <w:r w:rsidR="005A1923">
        <w:rPr>
          <w:lang w:val="es-NI"/>
        </w:rPr>
        <w:t>desean retrasar</w:t>
      </w:r>
      <w:r w:rsidR="008A689D" w:rsidRPr="008A689D">
        <w:rPr>
          <w:lang w:val="es-NI"/>
        </w:rPr>
        <w:t>, espaci</w:t>
      </w:r>
      <w:r w:rsidR="005A1923">
        <w:rPr>
          <w:lang w:val="es-NI"/>
        </w:rPr>
        <w:t>ar</w:t>
      </w:r>
      <w:r w:rsidR="008A689D" w:rsidRPr="008A689D">
        <w:rPr>
          <w:lang w:val="es-NI"/>
        </w:rPr>
        <w:t>, o incluso en algunos casos l</w:t>
      </w:r>
      <w:r w:rsidR="005A1923">
        <w:rPr>
          <w:lang w:val="es-NI"/>
        </w:rPr>
        <w:t>i</w:t>
      </w:r>
      <w:r w:rsidR="008A689D" w:rsidRPr="008A689D">
        <w:rPr>
          <w:lang w:val="es-NI"/>
        </w:rPr>
        <w:t>mit</w:t>
      </w:r>
      <w:r w:rsidR="005A1923">
        <w:rPr>
          <w:lang w:val="es-NI"/>
        </w:rPr>
        <w:t>ar</w:t>
      </w:r>
      <w:r w:rsidR="008A689D" w:rsidRPr="008A689D">
        <w:rPr>
          <w:lang w:val="es-NI"/>
        </w:rPr>
        <w:t xml:space="preserve"> </w:t>
      </w:r>
      <w:r w:rsidR="005A1923">
        <w:rPr>
          <w:lang w:val="es-NI"/>
        </w:rPr>
        <w:t xml:space="preserve">la </w:t>
      </w:r>
      <w:r w:rsidR="008A689D" w:rsidRPr="008A689D">
        <w:rPr>
          <w:lang w:val="es-NI"/>
        </w:rPr>
        <w:t xml:space="preserve">maternidad, pero no </w:t>
      </w:r>
      <w:r w:rsidR="005A1923">
        <w:rPr>
          <w:lang w:val="es-NI"/>
        </w:rPr>
        <w:t xml:space="preserve">utilizan algún </w:t>
      </w:r>
      <w:r w:rsidR="008A689D" w:rsidRPr="008A689D">
        <w:rPr>
          <w:lang w:val="es-NI"/>
        </w:rPr>
        <w:t xml:space="preserve">método anticonceptivo. </w:t>
      </w:r>
      <w:r w:rsidR="008A689D" w:rsidRPr="008D594D">
        <w:rPr>
          <w:lang w:val="es-NI"/>
        </w:rPr>
        <w:t xml:space="preserve">Sin embargo, entre las mujeres adolescentes, la proporción </w:t>
      </w:r>
      <w:r w:rsidR="005A1923">
        <w:rPr>
          <w:lang w:val="es-NI"/>
        </w:rPr>
        <w:t>aumenta</w:t>
      </w:r>
      <w:r w:rsidR="008A689D" w:rsidRPr="008D594D">
        <w:rPr>
          <w:lang w:val="es-NI"/>
        </w:rPr>
        <w:t xml:space="preserve"> a casi un tercio (32,8%).</w:t>
      </w:r>
    </w:p>
    <w:p w14:paraId="7B3BEBD2" w14:textId="117ED060" w:rsidR="00E26148" w:rsidRPr="008D594D" w:rsidRDefault="008A689D" w:rsidP="008A689D">
      <w:pPr>
        <w:jc w:val="both"/>
        <w:rPr>
          <w:lang w:val="es-NI"/>
        </w:rPr>
      </w:pPr>
      <w:r w:rsidRPr="008A689D">
        <w:rPr>
          <w:lang w:val="es-NI"/>
        </w:rPr>
        <w:t xml:space="preserve">Es un componente clave </w:t>
      </w:r>
      <w:r w:rsidR="005A1923">
        <w:rPr>
          <w:lang w:val="es-NI"/>
        </w:rPr>
        <w:t>para</w:t>
      </w:r>
      <w:r w:rsidRPr="008A689D">
        <w:rPr>
          <w:lang w:val="es-NI"/>
        </w:rPr>
        <w:t xml:space="preserve"> asegurar la </w:t>
      </w:r>
      <w:r w:rsidR="005A1923" w:rsidRPr="008A689D">
        <w:rPr>
          <w:lang w:val="es-NI"/>
        </w:rPr>
        <w:t>SDSR</w:t>
      </w:r>
      <w:r w:rsidR="005A1923">
        <w:rPr>
          <w:lang w:val="es-NI"/>
        </w:rPr>
        <w:t xml:space="preserve"> de la</w:t>
      </w:r>
      <w:r w:rsidR="005A1923" w:rsidRPr="008A689D">
        <w:rPr>
          <w:lang w:val="es-NI"/>
        </w:rPr>
        <w:t xml:space="preserve"> </w:t>
      </w:r>
      <w:r w:rsidRPr="008A689D">
        <w:rPr>
          <w:lang w:val="es-NI"/>
        </w:rPr>
        <w:t xml:space="preserve">juventud y reducir la necesidad </w:t>
      </w:r>
      <w:r w:rsidR="00C43814">
        <w:rPr>
          <w:lang w:val="es-NI"/>
        </w:rPr>
        <w:t xml:space="preserve">insatisfecha </w:t>
      </w:r>
      <w:r w:rsidR="00574DD7">
        <w:rPr>
          <w:lang w:val="es-NI"/>
        </w:rPr>
        <w:t>es</w:t>
      </w:r>
      <w:r w:rsidRPr="008A689D">
        <w:rPr>
          <w:lang w:val="es-NI"/>
        </w:rPr>
        <w:t xml:space="preserve"> poner a disposición la gama completa de métodos anticonceptivos, incluyendo </w:t>
      </w:r>
      <w:r w:rsidR="00595DDB">
        <w:rPr>
          <w:lang w:val="es-NI"/>
        </w:rPr>
        <w:t>LARC</w:t>
      </w:r>
      <w:r w:rsidRPr="008A689D">
        <w:rPr>
          <w:lang w:val="es-NI"/>
        </w:rPr>
        <w:t xml:space="preserve"> (como los DIU y los implantes) que tienen una tasa </w:t>
      </w:r>
      <w:r w:rsidR="00595DDB" w:rsidRPr="008A689D">
        <w:rPr>
          <w:lang w:val="es-NI"/>
        </w:rPr>
        <w:t xml:space="preserve">muy baja </w:t>
      </w:r>
      <w:r w:rsidRPr="008A689D">
        <w:rPr>
          <w:lang w:val="es-NI"/>
        </w:rPr>
        <w:t>de fracaso (menos del 1%)</w:t>
      </w:r>
      <w:r w:rsidR="00E26148" w:rsidRPr="008A689D">
        <w:rPr>
          <w:lang w:val="es-NI"/>
        </w:rPr>
        <w:t xml:space="preserve">. </w:t>
      </w:r>
      <w:r w:rsidRPr="008A689D">
        <w:rPr>
          <w:lang w:val="es-NI"/>
        </w:rPr>
        <w:t xml:space="preserve">Sin embargo, </w:t>
      </w:r>
      <w:r w:rsidR="006D2BD4">
        <w:rPr>
          <w:lang w:val="es-NI"/>
        </w:rPr>
        <w:t xml:space="preserve">los </w:t>
      </w:r>
      <w:r w:rsidRPr="008A689D">
        <w:rPr>
          <w:lang w:val="es-NI"/>
        </w:rPr>
        <w:t xml:space="preserve">jóvenes todavía encuentran barreras significativas </w:t>
      </w:r>
      <w:r w:rsidR="00595DDB">
        <w:rPr>
          <w:lang w:val="es-NI"/>
        </w:rPr>
        <w:t>para</w:t>
      </w:r>
      <w:r w:rsidRPr="008A689D">
        <w:rPr>
          <w:lang w:val="es-NI"/>
        </w:rPr>
        <w:t xml:space="preserve"> acce</w:t>
      </w:r>
      <w:r w:rsidR="00595DDB">
        <w:rPr>
          <w:lang w:val="es-NI"/>
        </w:rPr>
        <w:t>der</w:t>
      </w:r>
      <w:r w:rsidRPr="008A689D">
        <w:rPr>
          <w:lang w:val="es-NI"/>
        </w:rPr>
        <w:t xml:space="preserve"> y us</w:t>
      </w:r>
      <w:r w:rsidR="00595DDB">
        <w:rPr>
          <w:lang w:val="es-NI"/>
        </w:rPr>
        <w:t>ar</w:t>
      </w:r>
      <w:r w:rsidRPr="008A689D">
        <w:rPr>
          <w:lang w:val="es-NI"/>
        </w:rPr>
        <w:t xml:space="preserve"> cualquier método anticonceptivo. Estas barreras incluyen: conocimiento limitado de sus opciones anticoncep</w:t>
      </w:r>
      <w:r w:rsidR="00595DDB">
        <w:rPr>
          <w:lang w:val="es-NI"/>
        </w:rPr>
        <w:t>tivas</w:t>
      </w:r>
      <w:r w:rsidRPr="008A689D">
        <w:rPr>
          <w:lang w:val="es-NI"/>
        </w:rPr>
        <w:t xml:space="preserve">; mitos y conceptos erróneos alrededor de </w:t>
      </w:r>
      <w:r w:rsidR="00595DDB">
        <w:rPr>
          <w:lang w:val="es-NI"/>
        </w:rPr>
        <w:t xml:space="preserve">los </w:t>
      </w:r>
      <w:r w:rsidRPr="008A689D">
        <w:rPr>
          <w:lang w:val="es-NI"/>
        </w:rPr>
        <w:t xml:space="preserve">métodos; </w:t>
      </w:r>
      <w:r w:rsidR="008F2962">
        <w:rPr>
          <w:lang w:val="es-NI"/>
        </w:rPr>
        <w:t>parciali</w:t>
      </w:r>
      <w:r w:rsidR="003A0C42">
        <w:rPr>
          <w:lang w:val="es-NI"/>
        </w:rPr>
        <w:t>dad</w:t>
      </w:r>
      <w:r w:rsidR="00595DDB">
        <w:rPr>
          <w:lang w:val="es-NI"/>
        </w:rPr>
        <w:t xml:space="preserve"> del </w:t>
      </w:r>
      <w:r w:rsidRPr="008A689D">
        <w:rPr>
          <w:lang w:val="es-NI"/>
        </w:rPr>
        <w:t>proveedor sobre qué métodos son apropiados para adolescentes</w:t>
      </w:r>
      <w:r w:rsidR="00595DDB">
        <w:rPr>
          <w:lang w:val="es-NI"/>
        </w:rPr>
        <w:t>;</w:t>
      </w:r>
      <w:r w:rsidRPr="008A689D">
        <w:rPr>
          <w:lang w:val="es-NI"/>
        </w:rPr>
        <w:t xml:space="preserve"> falta de </w:t>
      </w:r>
      <w:r w:rsidR="00595DDB">
        <w:rPr>
          <w:lang w:val="es-NI"/>
        </w:rPr>
        <w:t xml:space="preserve">apoyo </w:t>
      </w:r>
      <w:r w:rsidRPr="008A689D">
        <w:rPr>
          <w:lang w:val="es-NI"/>
        </w:rPr>
        <w:t>familia</w:t>
      </w:r>
      <w:r w:rsidR="00595DDB">
        <w:rPr>
          <w:lang w:val="es-NI"/>
        </w:rPr>
        <w:t>r</w:t>
      </w:r>
      <w:r w:rsidRPr="008A689D">
        <w:rPr>
          <w:lang w:val="es-NI"/>
        </w:rPr>
        <w:t xml:space="preserve">, </w:t>
      </w:r>
      <w:r w:rsidR="00595DDB">
        <w:rPr>
          <w:lang w:val="es-NI"/>
        </w:rPr>
        <w:t xml:space="preserve">de la </w:t>
      </w:r>
      <w:r w:rsidRPr="008A689D">
        <w:rPr>
          <w:lang w:val="es-NI"/>
        </w:rPr>
        <w:t>pareja y comuni</w:t>
      </w:r>
      <w:r w:rsidR="003A0C42">
        <w:rPr>
          <w:lang w:val="es-NI"/>
        </w:rPr>
        <w:t>tario</w:t>
      </w:r>
      <w:r w:rsidRPr="008A689D">
        <w:rPr>
          <w:lang w:val="es-NI"/>
        </w:rPr>
        <w:t xml:space="preserve">; normas sociales negativas; y la falta de acceso a los recursos para llegar a sitios de servicio o pagar </w:t>
      </w:r>
      <w:r w:rsidR="00595DDB">
        <w:rPr>
          <w:lang w:val="es-NI"/>
        </w:rPr>
        <w:t xml:space="preserve">por </w:t>
      </w:r>
      <w:r w:rsidRPr="008A689D">
        <w:rPr>
          <w:lang w:val="es-NI"/>
        </w:rPr>
        <w:t xml:space="preserve">los servicios. </w:t>
      </w:r>
      <w:r w:rsidR="00E8298B">
        <w:rPr>
          <w:lang w:val="es-NI"/>
        </w:rPr>
        <w:t xml:space="preserve"> Los LARC</w:t>
      </w:r>
      <w:r w:rsidR="00E8298B" w:rsidRPr="008D594D">
        <w:rPr>
          <w:lang w:val="es-NI"/>
        </w:rPr>
        <w:t xml:space="preserve"> </w:t>
      </w:r>
      <w:r w:rsidR="005132EB">
        <w:rPr>
          <w:lang w:val="es-NI"/>
        </w:rPr>
        <w:t>magnifican es</w:t>
      </w:r>
      <w:r w:rsidRPr="008D594D">
        <w:rPr>
          <w:lang w:val="es-NI"/>
        </w:rPr>
        <w:t xml:space="preserve">tas barreras (ver </w:t>
      </w:r>
      <w:r w:rsidR="00595DDB">
        <w:rPr>
          <w:lang w:val="es-NI"/>
        </w:rPr>
        <w:t>re</w:t>
      </w:r>
      <w:r w:rsidRPr="008D594D">
        <w:rPr>
          <w:lang w:val="es-NI"/>
        </w:rPr>
        <w:t>cuadro 2).</w:t>
      </w:r>
    </w:p>
    <w:p w14:paraId="727CEF7D" w14:textId="6A809FA3" w:rsidR="00AF3215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0"/>
          <w:lang w:val="es-NI"/>
        </w:rPr>
      </w:pPr>
      <w:r w:rsidRPr="008A689D">
        <w:rPr>
          <w:b/>
          <w:sz w:val="20"/>
          <w:lang w:val="es-NI"/>
        </w:rPr>
        <w:t>Recuadro 2</w:t>
      </w:r>
      <w:r w:rsidR="00A03549" w:rsidRPr="008A689D">
        <w:rPr>
          <w:b/>
          <w:sz w:val="20"/>
          <w:lang w:val="es-NI"/>
        </w:rPr>
        <w:t xml:space="preserve">  </w:t>
      </w:r>
    </w:p>
    <w:p w14:paraId="2292CA4E" w14:textId="57D97963" w:rsidR="00297BA5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0"/>
          <w:lang w:val="es-NI"/>
        </w:rPr>
      </w:pPr>
      <w:r w:rsidRPr="008A689D">
        <w:rPr>
          <w:b/>
          <w:sz w:val="20"/>
          <w:lang w:val="es-NI"/>
        </w:rPr>
        <w:t>Barreras para increment</w:t>
      </w:r>
      <w:r w:rsidR="00595DDB">
        <w:rPr>
          <w:b/>
          <w:sz w:val="20"/>
          <w:lang w:val="es-NI"/>
        </w:rPr>
        <w:t>ar el uso de LARC</w:t>
      </w:r>
    </w:p>
    <w:p w14:paraId="4F7496E3" w14:textId="024E2643" w:rsidR="008A689D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 xml:space="preserve">Para </w:t>
      </w:r>
      <w:r w:rsidR="00350497">
        <w:rPr>
          <w:sz w:val="20"/>
          <w:lang w:val="es-NI"/>
        </w:rPr>
        <w:t>comprender</w:t>
      </w:r>
      <w:r w:rsidRPr="008A689D">
        <w:rPr>
          <w:sz w:val="20"/>
          <w:lang w:val="es-NI"/>
        </w:rPr>
        <w:t xml:space="preserve"> mejor las barreras y </w:t>
      </w:r>
      <w:r w:rsidR="00346A4C">
        <w:rPr>
          <w:sz w:val="20"/>
          <w:lang w:val="es-NI"/>
        </w:rPr>
        <w:t xml:space="preserve">facilitar </w:t>
      </w:r>
      <w:r w:rsidRPr="008A689D">
        <w:rPr>
          <w:sz w:val="20"/>
          <w:lang w:val="es-NI"/>
        </w:rPr>
        <w:t xml:space="preserve">el acceso de los jóvenes a </w:t>
      </w:r>
      <w:r w:rsidR="00595DDB">
        <w:rPr>
          <w:sz w:val="20"/>
          <w:lang w:val="es-NI"/>
        </w:rPr>
        <w:t>todos los</w:t>
      </w:r>
      <w:r w:rsidRPr="008A689D">
        <w:rPr>
          <w:sz w:val="20"/>
          <w:lang w:val="es-NI"/>
        </w:rPr>
        <w:t xml:space="preserve"> método</w:t>
      </w:r>
      <w:r w:rsidR="009627D6">
        <w:rPr>
          <w:sz w:val="20"/>
          <w:lang w:val="es-NI"/>
        </w:rPr>
        <w:t>s</w:t>
      </w:r>
      <w:r w:rsidRPr="008A689D">
        <w:rPr>
          <w:sz w:val="20"/>
          <w:lang w:val="es-NI"/>
        </w:rPr>
        <w:t xml:space="preserve"> y </w:t>
      </w:r>
      <w:r w:rsidR="009627D6">
        <w:rPr>
          <w:sz w:val="20"/>
          <w:lang w:val="es-NI"/>
        </w:rPr>
        <w:t xml:space="preserve">el </w:t>
      </w:r>
      <w:r w:rsidRPr="008A689D">
        <w:rPr>
          <w:sz w:val="20"/>
          <w:lang w:val="es-NI"/>
        </w:rPr>
        <w:t xml:space="preserve">uso de </w:t>
      </w:r>
      <w:r w:rsidR="009627D6">
        <w:rPr>
          <w:sz w:val="20"/>
          <w:lang w:val="es-NI"/>
        </w:rPr>
        <w:t>LARC</w:t>
      </w:r>
      <w:r w:rsidRPr="008A689D">
        <w:rPr>
          <w:sz w:val="20"/>
          <w:lang w:val="es-NI"/>
        </w:rPr>
        <w:t xml:space="preserve">, </w:t>
      </w:r>
      <w:r w:rsidR="009627D6">
        <w:rPr>
          <w:sz w:val="20"/>
          <w:lang w:val="es-NI"/>
        </w:rPr>
        <w:t>el Proyecto E</w:t>
      </w:r>
      <w:r w:rsidRPr="008A689D">
        <w:rPr>
          <w:sz w:val="20"/>
          <w:lang w:val="es-NI"/>
        </w:rPr>
        <w:t xml:space="preserve">videncia para </w:t>
      </w:r>
      <w:r w:rsidR="009627D6">
        <w:rPr>
          <w:sz w:val="20"/>
          <w:lang w:val="es-NI"/>
        </w:rPr>
        <w:t>Actuar</w:t>
      </w:r>
      <w:r w:rsidRPr="008A689D">
        <w:rPr>
          <w:sz w:val="20"/>
          <w:lang w:val="es-NI"/>
        </w:rPr>
        <w:t xml:space="preserve"> (E2A) </w:t>
      </w:r>
      <w:r w:rsidR="009627D6">
        <w:rPr>
          <w:sz w:val="20"/>
          <w:lang w:val="es-NI"/>
        </w:rPr>
        <w:t>realiz</w:t>
      </w:r>
      <w:r w:rsidRPr="008A689D">
        <w:rPr>
          <w:sz w:val="20"/>
          <w:lang w:val="es-NI"/>
        </w:rPr>
        <w:t xml:space="preserve">ó </w:t>
      </w:r>
      <w:r w:rsidR="009627D6">
        <w:rPr>
          <w:sz w:val="20"/>
          <w:lang w:val="es-NI"/>
        </w:rPr>
        <w:t xml:space="preserve">un análisis </w:t>
      </w:r>
      <w:r w:rsidR="007743A4">
        <w:rPr>
          <w:sz w:val="20"/>
          <w:lang w:val="es-NI"/>
        </w:rPr>
        <w:t>a lo largo de</w:t>
      </w:r>
      <w:r w:rsidRPr="008A689D">
        <w:rPr>
          <w:sz w:val="20"/>
          <w:lang w:val="es-NI"/>
        </w:rPr>
        <w:t xml:space="preserve"> Tanzania, N</w:t>
      </w:r>
      <w:r w:rsidR="009627D6">
        <w:rPr>
          <w:sz w:val="20"/>
          <w:lang w:val="es-NI"/>
        </w:rPr>
        <w:t>igeria</w:t>
      </w:r>
      <w:r w:rsidRPr="008A689D">
        <w:rPr>
          <w:sz w:val="20"/>
          <w:lang w:val="es-NI"/>
        </w:rPr>
        <w:t>, Mozambique, Bangladesh y Etiopía.</w:t>
      </w:r>
      <w:r w:rsidR="009627D6">
        <w:rPr>
          <w:sz w:val="20"/>
          <w:lang w:val="es-NI"/>
        </w:rPr>
        <w:t xml:space="preserve"> </w:t>
      </w:r>
      <w:r w:rsidRPr="008A689D">
        <w:rPr>
          <w:sz w:val="20"/>
          <w:lang w:val="es-NI"/>
        </w:rPr>
        <w:t xml:space="preserve"> </w:t>
      </w:r>
      <w:r w:rsidR="00B4220C">
        <w:rPr>
          <w:sz w:val="20"/>
          <w:lang w:val="es-NI"/>
        </w:rPr>
        <w:t>Todos l</w:t>
      </w:r>
      <w:r w:rsidRPr="008A689D">
        <w:rPr>
          <w:sz w:val="20"/>
          <w:lang w:val="es-NI"/>
        </w:rPr>
        <w:t xml:space="preserve">os cinco países </w:t>
      </w:r>
      <w:r w:rsidR="00E7201B">
        <w:rPr>
          <w:sz w:val="20"/>
          <w:lang w:val="es-NI"/>
        </w:rPr>
        <w:t xml:space="preserve">presentaron </w:t>
      </w:r>
      <w:r w:rsidRPr="008A689D">
        <w:rPr>
          <w:sz w:val="20"/>
          <w:lang w:val="es-NI"/>
        </w:rPr>
        <w:t>barreras similares</w:t>
      </w:r>
      <w:r w:rsidR="00A03549" w:rsidRPr="008A689D">
        <w:rPr>
          <w:sz w:val="20"/>
          <w:lang w:val="es-NI"/>
        </w:rPr>
        <w:t xml:space="preserve">: </w:t>
      </w:r>
    </w:p>
    <w:p w14:paraId="3A772BA0" w14:textId="003BDF3A" w:rsidR="00A03549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 xml:space="preserve">• Mayoría de </w:t>
      </w:r>
      <w:r w:rsidR="003E013D">
        <w:rPr>
          <w:sz w:val="20"/>
          <w:lang w:val="es-NI"/>
        </w:rPr>
        <w:t>los</w:t>
      </w:r>
      <w:r w:rsidRPr="008A689D">
        <w:rPr>
          <w:sz w:val="20"/>
          <w:lang w:val="es-NI"/>
        </w:rPr>
        <w:t xml:space="preserve"> jóvenes no </w:t>
      </w:r>
      <w:r w:rsidR="008F2166">
        <w:rPr>
          <w:sz w:val="20"/>
          <w:lang w:val="es-NI"/>
        </w:rPr>
        <w:t>conocían los</w:t>
      </w:r>
      <w:r w:rsidR="003E013D">
        <w:rPr>
          <w:sz w:val="20"/>
          <w:lang w:val="es-NI"/>
        </w:rPr>
        <w:t xml:space="preserve"> LARC</w:t>
      </w:r>
      <w:r w:rsidRPr="008A689D">
        <w:rPr>
          <w:sz w:val="20"/>
          <w:lang w:val="es-NI"/>
        </w:rPr>
        <w:t>.</w:t>
      </w:r>
      <w:r w:rsidR="00A03549" w:rsidRPr="008A689D">
        <w:rPr>
          <w:sz w:val="20"/>
          <w:lang w:val="es-NI"/>
        </w:rPr>
        <w:t xml:space="preserve"> </w:t>
      </w:r>
    </w:p>
    <w:p w14:paraId="08D16E3F" w14:textId="7B107F04" w:rsidR="00A03549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lastRenderedPageBreak/>
        <w:t xml:space="preserve">• Entre </w:t>
      </w:r>
      <w:r w:rsidR="007111FF">
        <w:rPr>
          <w:sz w:val="20"/>
          <w:lang w:val="es-NI"/>
        </w:rPr>
        <w:t>aquellos</w:t>
      </w:r>
      <w:r w:rsidRPr="008A689D">
        <w:rPr>
          <w:sz w:val="20"/>
          <w:lang w:val="es-NI"/>
        </w:rPr>
        <w:t xml:space="preserve"> mitos y conceptos erróneos </w:t>
      </w:r>
      <w:r w:rsidR="007111FF">
        <w:rPr>
          <w:sz w:val="20"/>
          <w:lang w:val="es-NI"/>
        </w:rPr>
        <w:t xml:space="preserve">que </w:t>
      </w:r>
      <w:r w:rsidRPr="008A689D">
        <w:rPr>
          <w:sz w:val="20"/>
          <w:lang w:val="es-NI"/>
        </w:rPr>
        <w:t>nublaron la perc</w:t>
      </w:r>
      <w:r w:rsidR="003E013D">
        <w:rPr>
          <w:sz w:val="20"/>
          <w:lang w:val="es-NI"/>
        </w:rPr>
        <w:t xml:space="preserve">epción de </w:t>
      </w:r>
      <w:r w:rsidR="0056600B">
        <w:rPr>
          <w:sz w:val="20"/>
          <w:lang w:val="es-NI"/>
        </w:rPr>
        <w:t>los LARC</w:t>
      </w:r>
      <w:r w:rsidR="003E013D">
        <w:rPr>
          <w:sz w:val="20"/>
          <w:lang w:val="es-NI"/>
        </w:rPr>
        <w:t xml:space="preserve">; el temor a los </w:t>
      </w:r>
      <w:r w:rsidRPr="008A689D">
        <w:rPr>
          <w:sz w:val="20"/>
          <w:lang w:val="es-NI"/>
        </w:rPr>
        <w:t>efectos secundarios fue</w:t>
      </w:r>
      <w:r w:rsidR="00CF1608">
        <w:rPr>
          <w:sz w:val="20"/>
          <w:lang w:val="es-NI"/>
        </w:rPr>
        <w:t xml:space="preserve">ron los </w:t>
      </w:r>
      <w:r w:rsidRPr="008A689D">
        <w:rPr>
          <w:sz w:val="20"/>
          <w:lang w:val="es-NI"/>
        </w:rPr>
        <w:t>elemento</w:t>
      </w:r>
      <w:r w:rsidR="00CF1608">
        <w:rPr>
          <w:sz w:val="20"/>
          <w:lang w:val="es-NI"/>
        </w:rPr>
        <w:t xml:space="preserve">s más </w:t>
      </w:r>
      <w:r w:rsidRPr="008A689D">
        <w:rPr>
          <w:sz w:val="20"/>
          <w:lang w:val="es-NI"/>
        </w:rPr>
        <w:t>disuasi</w:t>
      </w:r>
      <w:r w:rsidR="00CF1608">
        <w:rPr>
          <w:sz w:val="20"/>
          <w:lang w:val="es-NI"/>
        </w:rPr>
        <w:t>vos</w:t>
      </w:r>
      <w:r w:rsidRPr="008A689D">
        <w:rPr>
          <w:sz w:val="20"/>
          <w:lang w:val="es-NI"/>
        </w:rPr>
        <w:t>.</w:t>
      </w:r>
      <w:r w:rsidR="00A03549" w:rsidRPr="008A689D">
        <w:rPr>
          <w:sz w:val="20"/>
          <w:lang w:val="es-NI"/>
        </w:rPr>
        <w:t xml:space="preserve"> </w:t>
      </w:r>
    </w:p>
    <w:p w14:paraId="657F278C" w14:textId="01CAAC1C" w:rsidR="00A03549" w:rsidRPr="008A689D" w:rsidRDefault="008A689D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 xml:space="preserve">• </w:t>
      </w:r>
      <w:r w:rsidR="005556C2">
        <w:rPr>
          <w:sz w:val="20"/>
          <w:lang w:val="es-NI"/>
        </w:rPr>
        <w:t xml:space="preserve">Hubo </w:t>
      </w:r>
      <w:r w:rsidR="00F27FE8">
        <w:rPr>
          <w:sz w:val="20"/>
          <w:lang w:val="es-NI"/>
        </w:rPr>
        <w:t>una parcialidad</w:t>
      </w:r>
      <w:r w:rsidR="005556C2">
        <w:rPr>
          <w:sz w:val="20"/>
          <w:lang w:val="es-NI"/>
        </w:rPr>
        <w:t xml:space="preserve"> substancial por parte de los proveedores en</w:t>
      </w:r>
      <w:r w:rsidRPr="008A689D">
        <w:rPr>
          <w:sz w:val="20"/>
          <w:lang w:val="es-NI"/>
        </w:rPr>
        <w:t xml:space="preserve"> los cinco países, con los proveedores </w:t>
      </w:r>
      <w:r w:rsidR="005556C2">
        <w:rPr>
          <w:sz w:val="20"/>
          <w:lang w:val="es-NI"/>
        </w:rPr>
        <w:t xml:space="preserve">que se niegan </w:t>
      </w:r>
      <w:r w:rsidRPr="008A689D">
        <w:rPr>
          <w:sz w:val="20"/>
          <w:lang w:val="es-NI"/>
        </w:rPr>
        <w:t xml:space="preserve">a ofrecer </w:t>
      </w:r>
      <w:r w:rsidR="005556C2">
        <w:rPr>
          <w:sz w:val="20"/>
          <w:lang w:val="es-NI"/>
        </w:rPr>
        <w:t>LARC</w:t>
      </w:r>
      <w:r w:rsidRPr="008A689D">
        <w:rPr>
          <w:sz w:val="20"/>
          <w:lang w:val="es-NI"/>
        </w:rPr>
        <w:t xml:space="preserve"> porque l</w:t>
      </w:r>
      <w:r w:rsidR="005556C2">
        <w:rPr>
          <w:sz w:val="20"/>
          <w:lang w:val="es-NI"/>
        </w:rPr>
        <w:t>a</w:t>
      </w:r>
      <w:r w:rsidRPr="008A689D">
        <w:rPr>
          <w:sz w:val="20"/>
          <w:lang w:val="es-NI"/>
        </w:rPr>
        <w:t>s client</w:t>
      </w:r>
      <w:r w:rsidR="005556C2">
        <w:rPr>
          <w:sz w:val="20"/>
          <w:lang w:val="es-NI"/>
        </w:rPr>
        <w:t>a</w:t>
      </w:r>
      <w:r w:rsidRPr="008A689D">
        <w:rPr>
          <w:sz w:val="20"/>
          <w:lang w:val="es-NI"/>
        </w:rPr>
        <w:t>s eran demasiado jóvenes, no habían tenido hijo</w:t>
      </w:r>
      <w:r w:rsidR="005556C2">
        <w:rPr>
          <w:sz w:val="20"/>
          <w:lang w:val="es-NI"/>
        </w:rPr>
        <w:t>s</w:t>
      </w:r>
      <w:r w:rsidRPr="008A689D">
        <w:rPr>
          <w:sz w:val="20"/>
          <w:lang w:val="es-NI"/>
        </w:rPr>
        <w:t xml:space="preserve"> o eran solteras.</w:t>
      </w:r>
      <w:r w:rsidR="00A03549" w:rsidRPr="008A689D">
        <w:rPr>
          <w:sz w:val="20"/>
          <w:lang w:val="es-NI"/>
        </w:rPr>
        <w:t xml:space="preserve"> </w:t>
      </w:r>
    </w:p>
    <w:p w14:paraId="366D616C" w14:textId="02951DE5" w:rsidR="008A689D" w:rsidRPr="008A689D" w:rsidRDefault="00A03549" w:rsidP="00297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  <w:lang w:val="es-NI"/>
        </w:rPr>
      </w:pPr>
      <w:r w:rsidRPr="008A689D">
        <w:rPr>
          <w:sz w:val="20"/>
          <w:lang w:val="es-NI"/>
        </w:rPr>
        <w:t>•</w:t>
      </w:r>
      <w:r w:rsidR="008A689D" w:rsidRPr="008A689D">
        <w:rPr>
          <w:sz w:val="20"/>
          <w:lang w:val="es-NI"/>
        </w:rPr>
        <w:t xml:space="preserve"> </w:t>
      </w:r>
      <w:r w:rsidR="00643241">
        <w:rPr>
          <w:sz w:val="20"/>
          <w:lang w:val="es-NI"/>
        </w:rPr>
        <w:t>Los p</w:t>
      </w:r>
      <w:r w:rsidR="008A689D" w:rsidRPr="008A689D">
        <w:rPr>
          <w:sz w:val="20"/>
          <w:lang w:val="es-NI"/>
        </w:rPr>
        <w:t>aíses tenían normas sociales y estigma</w:t>
      </w:r>
      <w:r w:rsidR="00643241">
        <w:rPr>
          <w:sz w:val="20"/>
          <w:lang w:val="es-NI"/>
        </w:rPr>
        <w:t>s</w:t>
      </w:r>
      <w:r w:rsidR="008A689D" w:rsidRPr="008A689D">
        <w:rPr>
          <w:sz w:val="20"/>
          <w:lang w:val="es-NI"/>
        </w:rPr>
        <w:t xml:space="preserve"> que rodea</w:t>
      </w:r>
      <w:r w:rsidR="00643241">
        <w:rPr>
          <w:sz w:val="20"/>
          <w:lang w:val="es-NI"/>
        </w:rPr>
        <w:t>n</w:t>
      </w:r>
      <w:r w:rsidR="008A689D" w:rsidRPr="008A689D">
        <w:rPr>
          <w:sz w:val="20"/>
          <w:lang w:val="es-NI"/>
        </w:rPr>
        <w:t xml:space="preserve"> la sexualidad y el uso de anticoncep</w:t>
      </w:r>
      <w:r w:rsidR="00643241">
        <w:rPr>
          <w:sz w:val="20"/>
          <w:lang w:val="es-NI"/>
        </w:rPr>
        <w:t>tivos</w:t>
      </w:r>
      <w:r w:rsidR="00FD2C92" w:rsidRPr="00FD2C92">
        <w:rPr>
          <w:sz w:val="20"/>
          <w:lang w:val="es-NI"/>
        </w:rPr>
        <w:t xml:space="preserve"> </w:t>
      </w:r>
      <w:r w:rsidR="00FD2C92">
        <w:rPr>
          <w:sz w:val="20"/>
          <w:lang w:val="es-NI"/>
        </w:rPr>
        <w:t xml:space="preserve">entre los </w:t>
      </w:r>
      <w:r w:rsidR="00FD2C92" w:rsidRPr="008A689D">
        <w:rPr>
          <w:sz w:val="20"/>
          <w:lang w:val="es-NI"/>
        </w:rPr>
        <w:t>adolescente</w:t>
      </w:r>
      <w:r w:rsidR="00FD2C92">
        <w:rPr>
          <w:sz w:val="20"/>
          <w:lang w:val="es-NI"/>
        </w:rPr>
        <w:t>s</w:t>
      </w:r>
      <w:r w:rsidR="008A689D" w:rsidRPr="008A689D">
        <w:rPr>
          <w:sz w:val="20"/>
          <w:lang w:val="es-NI"/>
        </w:rPr>
        <w:t xml:space="preserve">, particularmente </w:t>
      </w:r>
      <w:r w:rsidR="00643241">
        <w:rPr>
          <w:sz w:val="20"/>
          <w:lang w:val="es-NI"/>
        </w:rPr>
        <w:t>LARC</w:t>
      </w:r>
      <w:r w:rsidR="008A689D" w:rsidRPr="008A689D">
        <w:rPr>
          <w:sz w:val="20"/>
          <w:lang w:val="es-NI"/>
        </w:rPr>
        <w:t>, que evita</w:t>
      </w:r>
      <w:r w:rsidR="00643241">
        <w:rPr>
          <w:sz w:val="20"/>
          <w:lang w:val="es-NI"/>
        </w:rPr>
        <w:t>n</w:t>
      </w:r>
      <w:r w:rsidR="008A689D" w:rsidRPr="008A689D">
        <w:rPr>
          <w:sz w:val="20"/>
          <w:lang w:val="es-NI"/>
        </w:rPr>
        <w:t xml:space="preserve"> que </w:t>
      </w:r>
      <w:r w:rsidR="00643241">
        <w:rPr>
          <w:sz w:val="20"/>
          <w:lang w:val="es-NI"/>
        </w:rPr>
        <w:t xml:space="preserve">los </w:t>
      </w:r>
      <w:r w:rsidR="008A689D" w:rsidRPr="008A689D">
        <w:rPr>
          <w:sz w:val="20"/>
          <w:lang w:val="es-NI"/>
        </w:rPr>
        <w:t xml:space="preserve">adolescentes y jóvenes </w:t>
      </w:r>
      <w:r w:rsidR="00643241">
        <w:rPr>
          <w:sz w:val="20"/>
          <w:lang w:val="es-NI"/>
        </w:rPr>
        <w:t xml:space="preserve">escojan </w:t>
      </w:r>
      <w:r w:rsidR="008A689D" w:rsidRPr="008A689D">
        <w:rPr>
          <w:sz w:val="20"/>
          <w:lang w:val="es-NI"/>
        </w:rPr>
        <w:t>el método anticonceptivo.</w:t>
      </w:r>
    </w:p>
    <w:p w14:paraId="44D2C4FC" w14:textId="66D6C5DE" w:rsidR="00E26148" w:rsidRPr="008A689D" w:rsidRDefault="006307F1" w:rsidP="00BC5666">
      <w:pPr>
        <w:jc w:val="both"/>
        <w:rPr>
          <w:lang w:val="es-NI"/>
        </w:rPr>
      </w:pPr>
      <w:r>
        <w:rPr>
          <w:lang w:val="es-NI"/>
        </w:rPr>
        <w:t>Los d</w:t>
      </w:r>
      <w:r w:rsidR="008A689D" w:rsidRPr="008A689D">
        <w:rPr>
          <w:lang w:val="es-NI"/>
        </w:rPr>
        <w:t>atos de</w:t>
      </w:r>
      <w:r>
        <w:rPr>
          <w:lang w:val="es-NI"/>
        </w:rPr>
        <w:t xml:space="preserve"> la encuesta demográfica y de salud resaltan</w:t>
      </w:r>
      <w:r w:rsidR="008A689D" w:rsidRPr="008A689D">
        <w:rPr>
          <w:lang w:val="es-NI"/>
        </w:rPr>
        <w:t xml:space="preserve"> que los jóvenes que usan anticonceptivos generalmente </w:t>
      </w:r>
      <w:r w:rsidRPr="008A689D">
        <w:rPr>
          <w:lang w:val="es-NI"/>
        </w:rPr>
        <w:t xml:space="preserve">no </w:t>
      </w:r>
      <w:r>
        <w:rPr>
          <w:lang w:val="es-NI"/>
        </w:rPr>
        <w:t>escogen</w:t>
      </w:r>
      <w:r w:rsidR="008A689D" w:rsidRPr="008A689D">
        <w:rPr>
          <w:lang w:val="es-NI"/>
        </w:rPr>
        <w:t xml:space="preserve"> los métodos más eficaces, mucho menos </w:t>
      </w:r>
      <w:r>
        <w:rPr>
          <w:lang w:val="es-NI"/>
        </w:rPr>
        <w:t xml:space="preserve">LARC. </w:t>
      </w:r>
      <w:r w:rsidR="000551A9">
        <w:rPr>
          <w:lang w:val="es-NI"/>
        </w:rPr>
        <w:t xml:space="preserve"> </w:t>
      </w:r>
      <w:r>
        <w:rPr>
          <w:lang w:val="es-NI"/>
        </w:rPr>
        <w:t xml:space="preserve">Más del 50% </w:t>
      </w:r>
      <w:r w:rsidR="008A689D" w:rsidRPr="008A689D">
        <w:rPr>
          <w:lang w:val="es-NI"/>
        </w:rPr>
        <w:t>del grupo más joven (</w:t>
      </w:r>
      <w:r>
        <w:rPr>
          <w:lang w:val="es-NI"/>
        </w:rPr>
        <w:t xml:space="preserve">entre </w:t>
      </w:r>
      <w:r w:rsidR="008A689D" w:rsidRPr="008A689D">
        <w:rPr>
          <w:lang w:val="es-NI"/>
        </w:rPr>
        <w:t>15</w:t>
      </w:r>
      <w:r>
        <w:rPr>
          <w:lang w:val="es-NI"/>
        </w:rPr>
        <w:t>-</w:t>
      </w:r>
      <w:r w:rsidR="008A689D" w:rsidRPr="008A689D">
        <w:rPr>
          <w:lang w:val="es-NI"/>
        </w:rPr>
        <w:t xml:space="preserve">19 años) utiliza métodos tradicionales y </w:t>
      </w:r>
      <w:r>
        <w:rPr>
          <w:lang w:val="es-NI"/>
        </w:rPr>
        <w:t>preservativos</w:t>
      </w:r>
      <w:r w:rsidR="008A689D" w:rsidRPr="008A689D">
        <w:rPr>
          <w:lang w:val="es-NI"/>
        </w:rPr>
        <w:t xml:space="preserve">, </w:t>
      </w:r>
      <w:r w:rsidR="00C21D6F">
        <w:rPr>
          <w:lang w:val="es-NI"/>
        </w:rPr>
        <w:t xml:space="preserve">le siguen </w:t>
      </w:r>
      <w:r w:rsidR="008A689D" w:rsidRPr="008A689D">
        <w:rPr>
          <w:lang w:val="es-NI"/>
        </w:rPr>
        <w:t>las p</w:t>
      </w:r>
      <w:r>
        <w:rPr>
          <w:lang w:val="es-NI"/>
        </w:rPr>
        <w:t xml:space="preserve">astillas </w:t>
      </w:r>
      <w:r w:rsidR="008A689D" w:rsidRPr="008A689D">
        <w:rPr>
          <w:lang w:val="es-NI"/>
        </w:rPr>
        <w:t>anticonceptivas</w:t>
      </w:r>
      <w:r>
        <w:rPr>
          <w:lang w:val="es-NI"/>
        </w:rPr>
        <w:t xml:space="preserve"> e inyecciones</w:t>
      </w:r>
      <w:r w:rsidR="008A689D" w:rsidRPr="008A689D">
        <w:rPr>
          <w:lang w:val="es-NI"/>
        </w:rPr>
        <w:t xml:space="preserve">. </w:t>
      </w:r>
      <w:r w:rsidR="0060091F">
        <w:rPr>
          <w:lang w:val="es-NI"/>
        </w:rPr>
        <w:t>El grupo e</w:t>
      </w:r>
      <w:r>
        <w:rPr>
          <w:lang w:val="es-NI"/>
        </w:rPr>
        <w:t xml:space="preserve">ntre los </w:t>
      </w:r>
      <w:r w:rsidR="008A689D" w:rsidRPr="008A689D">
        <w:rPr>
          <w:lang w:val="es-NI"/>
        </w:rPr>
        <w:t>20</w:t>
      </w:r>
      <w:r>
        <w:rPr>
          <w:lang w:val="es-NI"/>
        </w:rPr>
        <w:t>-</w:t>
      </w:r>
      <w:r w:rsidR="008A689D" w:rsidRPr="008A689D">
        <w:rPr>
          <w:lang w:val="es-NI"/>
        </w:rPr>
        <w:t>24</w:t>
      </w:r>
      <w:r>
        <w:rPr>
          <w:lang w:val="es-NI"/>
        </w:rPr>
        <w:t xml:space="preserve"> </w:t>
      </w:r>
      <w:r w:rsidR="00FC534D" w:rsidRPr="008A689D">
        <w:rPr>
          <w:lang w:val="es-NI"/>
        </w:rPr>
        <w:t>años</w:t>
      </w:r>
      <w:r w:rsidR="008A689D" w:rsidRPr="008A689D">
        <w:rPr>
          <w:lang w:val="es-NI"/>
        </w:rPr>
        <w:t xml:space="preserve"> muestra </w:t>
      </w:r>
      <w:r w:rsidR="0060091F">
        <w:rPr>
          <w:lang w:val="es-NI"/>
        </w:rPr>
        <w:t xml:space="preserve">un pequeño incremento en el uso de </w:t>
      </w:r>
      <w:r w:rsidR="008A689D" w:rsidRPr="008A689D">
        <w:rPr>
          <w:lang w:val="es-NI"/>
        </w:rPr>
        <w:t>métodos hormonales y DIU</w:t>
      </w:r>
      <w:r w:rsidR="00E26148">
        <w:rPr>
          <w:rStyle w:val="EndnoteReference"/>
        </w:rPr>
        <w:endnoteReference w:id="7"/>
      </w:r>
      <w:r w:rsidR="008A689D" w:rsidRPr="008A689D">
        <w:rPr>
          <w:lang w:val="es-NI"/>
        </w:rPr>
        <w:t>.</w:t>
      </w:r>
      <w:r w:rsidR="0060091F">
        <w:rPr>
          <w:lang w:val="es-NI"/>
        </w:rPr>
        <w:t xml:space="preserve">  </w:t>
      </w:r>
      <w:r w:rsidR="008A689D" w:rsidRPr="008A689D">
        <w:rPr>
          <w:lang w:val="es-NI"/>
        </w:rPr>
        <w:t xml:space="preserve">Estos métodos tienen tasas de fracaso más altas que </w:t>
      </w:r>
      <w:r w:rsidR="0060091F">
        <w:rPr>
          <w:lang w:val="es-NI"/>
        </w:rPr>
        <w:t>los LARC</w:t>
      </w:r>
      <w:r w:rsidR="008A689D" w:rsidRPr="008A689D">
        <w:rPr>
          <w:lang w:val="es-NI"/>
        </w:rPr>
        <w:t xml:space="preserve">. </w:t>
      </w:r>
      <w:r w:rsidR="0060091F">
        <w:rPr>
          <w:lang w:val="es-NI"/>
        </w:rPr>
        <w:t xml:space="preserve"> </w:t>
      </w:r>
      <w:r w:rsidR="008A689D" w:rsidRPr="008A689D">
        <w:rPr>
          <w:lang w:val="es-NI"/>
        </w:rPr>
        <w:t xml:space="preserve">Además de los desafíos de </w:t>
      </w:r>
      <w:r w:rsidR="004F6C85">
        <w:rPr>
          <w:lang w:val="es-NI"/>
        </w:rPr>
        <w:t>usar</w:t>
      </w:r>
      <w:r w:rsidR="008A689D" w:rsidRPr="008A689D">
        <w:rPr>
          <w:lang w:val="es-NI"/>
        </w:rPr>
        <w:t xml:space="preserve"> métodos menos efectivos, hay pruebas claras que </w:t>
      </w:r>
      <w:r w:rsidR="004F6C85">
        <w:rPr>
          <w:lang w:val="es-NI"/>
        </w:rPr>
        <w:t xml:space="preserve">los jóvenes </w:t>
      </w:r>
      <w:r w:rsidR="008A689D" w:rsidRPr="008A689D">
        <w:rPr>
          <w:lang w:val="es-NI"/>
        </w:rPr>
        <w:t>no usa</w:t>
      </w:r>
      <w:r w:rsidR="004F6C85">
        <w:rPr>
          <w:lang w:val="es-NI"/>
        </w:rPr>
        <w:t>n</w:t>
      </w:r>
      <w:r w:rsidR="008A689D" w:rsidRPr="008A689D">
        <w:rPr>
          <w:lang w:val="es-NI"/>
        </w:rPr>
        <w:t xml:space="preserve"> </w:t>
      </w:r>
      <w:r w:rsidR="002C6CDD">
        <w:rPr>
          <w:lang w:val="es-NI"/>
        </w:rPr>
        <w:t>un</w:t>
      </w:r>
      <w:r w:rsidR="004F6C85">
        <w:rPr>
          <w:lang w:val="es-NI"/>
        </w:rPr>
        <w:t xml:space="preserve"> </w:t>
      </w:r>
      <w:r w:rsidR="008A689D" w:rsidRPr="008A689D">
        <w:rPr>
          <w:lang w:val="es-NI"/>
        </w:rPr>
        <w:t>método tan efectiv</w:t>
      </w:r>
      <w:r w:rsidR="004F6C85">
        <w:rPr>
          <w:lang w:val="es-NI"/>
        </w:rPr>
        <w:t>o</w:t>
      </w:r>
      <w:r w:rsidR="008A689D" w:rsidRPr="008A689D">
        <w:rPr>
          <w:lang w:val="es-NI"/>
        </w:rPr>
        <w:t xml:space="preserve"> como las mujeres </w:t>
      </w:r>
      <w:r w:rsidR="00BC5666" w:rsidRPr="008A689D">
        <w:rPr>
          <w:lang w:val="es-NI"/>
        </w:rPr>
        <w:t>mayores</w:t>
      </w:r>
      <w:r w:rsidR="00E26148">
        <w:rPr>
          <w:rStyle w:val="EndnoteReference"/>
        </w:rPr>
        <w:endnoteReference w:id="8"/>
      </w:r>
      <w:r w:rsidR="008A689D" w:rsidRPr="008A689D">
        <w:rPr>
          <w:lang w:val="es-NI"/>
        </w:rPr>
        <w:t>.</w:t>
      </w:r>
      <w:r w:rsidR="00297BA5" w:rsidRPr="008A689D">
        <w:rPr>
          <w:lang w:val="es-NI"/>
        </w:rPr>
        <w:t xml:space="preserve">  </w:t>
      </w:r>
      <w:r w:rsidR="004F6C85">
        <w:rPr>
          <w:lang w:val="es-NI"/>
        </w:rPr>
        <w:t xml:space="preserve"> </w:t>
      </w:r>
      <w:r w:rsidR="008A689D" w:rsidRPr="008A689D">
        <w:rPr>
          <w:lang w:val="es-NI"/>
        </w:rPr>
        <w:t xml:space="preserve">Sin embargo, esta </w:t>
      </w:r>
      <w:r w:rsidR="004F6C85">
        <w:rPr>
          <w:lang w:val="es-NI"/>
        </w:rPr>
        <w:t>brecha</w:t>
      </w:r>
      <w:r w:rsidR="008A689D" w:rsidRPr="008A689D">
        <w:rPr>
          <w:lang w:val="es-NI"/>
        </w:rPr>
        <w:t xml:space="preserve"> en </w:t>
      </w:r>
      <w:r w:rsidR="004F6C85">
        <w:rPr>
          <w:lang w:val="es-NI"/>
        </w:rPr>
        <w:t>el uso efectivo e</w:t>
      </w:r>
      <w:r w:rsidR="008A689D" w:rsidRPr="008A689D">
        <w:rPr>
          <w:lang w:val="es-NI"/>
        </w:rPr>
        <w:t xml:space="preserve">ntre los </w:t>
      </w:r>
      <w:r w:rsidR="004F6C85" w:rsidRPr="008A689D">
        <w:rPr>
          <w:lang w:val="es-NI"/>
        </w:rPr>
        <w:t xml:space="preserve">usuarios </w:t>
      </w:r>
      <w:r w:rsidR="008A689D" w:rsidRPr="008A689D">
        <w:rPr>
          <w:lang w:val="es-NI"/>
        </w:rPr>
        <w:t xml:space="preserve">jóvenes y mayores es menor </w:t>
      </w:r>
      <w:r w:rsidR="00794D7B">
        <w:rPr>
          <w:lang w:val="es-NI"/>
        </w:rPr>
        <w:t>con los</w:t>
      </w:r>
      <w:r w:rsidR="004F6C85">
        <w:rPr>
          <w:lang w:val="es-NI"/>
        </w:rPr>
        <w:t xml:space="preserve"> LARC</w:t>
      </w:r>
      <w:r w:rsidR="008A689D" w:rsidRPr="008A689D">
        <w:rPr>
          <w:lang w:val="es-NI"/>
        </w:rPr>
        <w:t>.</w:t>
      </w:r>
    </w:p>
    <w:p w14:paraId="64DBCE63" w14:textId="730FC935" w:rsidR="00E26148" w:rsidRPr="008A689D" w:rsidRDefault="00BD7FCB" w:rsidP="008A689D">
      <w:pPr>
        <w:jc w:val="both"/>
        <w:rPr>
          <w:lang w:val="es-NI"/>
        </w:rPr>
      </w:pPr>
      <w:r>
        <w:rPr>
          <w:lang w:val="es-NI"/>
        </w:rPr>
        <w:t>Los pr</w:t>
      </w:r>
      <w:r w:rsidR="008A689D" w:rsidRPr="008A689D">
        <w:rPr>
          <w:lang w:val="es-NI"/>
        </w:rPr>
        <w:t xml:space="preserve">oveedores </w:t>
      </w:r>
      <w:r w:rsidRPr="008A689D">
        <w:rPr>
          <w:lang w:val="es-NI"/>
        </w:rPr>
        <w:t xml:space="preserve">a menudo </w:t>
      </w:r>
      <w:r>
        <w:rPr>
          <w:lang w:val="es-NI"/>
        </w:rPr>
        <w:t xml:space="preserve">se muestran preocupados sobre </w:t>
      </w:r>
      <w:r w:rsidR="00A34797">
        <w:rPr>
          <w:lang w:val="es-NI"/>
        </w:rPr>
        <w:t xml:space="preserve">si </w:t>
      </w:r>
      <w:r>
        <w:rPr>
          <w:lang w:val="es-NI"/>
        </w:rPr>
        <w:t>los LARC</w:t>
      </w:r>
      <w:r w:rsidR="008A689D" w:rsidRPr="008A689D">
        <w:rPr>
          <w:lang w:val="es-NI"/>
        </w:rPr>
        <w:t xml:space="preserve"> </w:t>
      </w:r>
      <w:r>
        <w:rPr>
          <w:lang w:val="es-NI"/>
        </w:rPr>
        <w:t>son s</w:t>
      </w:r>
      <w:r w:rsidR="008A689D" w:rsidRPr="008A689D">
        <w:rPr>
          <w:lang w:val="es-NI"/>
        </w:rPr>
        <w:t xml:space="preserve">eguros para los jóvenes, particularmente en términos </w:t>
      </w:r>
      <w:r w:rsidR="00151BA8">
        <w:rPr>
          <w:lang w:val="es-NI"/>
        </w:rPr>
        <w:t xml:space="preserve">de </w:t>
      </w:r>
      <w:r w:rsidR="008A689D" w:rsidRPr="008A689D">
        <w:rPr>
          <w:lang w:val="es-NI"/>
        </w:rPr>
        <w:t xml:space="preserve">socavar su capacidad futura de </w:t>
      </w:r>
      <w:r>
        <w:rPr>
          <w:lang w:val="es-NI"/>
        </w:rPr>
        <w:t>procrear</w:t>
      </w:r>
      <w:r w:rsidR="008A689D" w:rsidRPr="008A689D">
        <w:rPr>
          <w:lang w:val="es-NI"/>
        </w:rPr>
        <w:t xml:space="preserve"> hijos. </w:t>
      </w:r>
      <w:r>
        <w:rPr>
          <w:lang w:val="es-NI"/>
        </w:rPr>
        <w:t xml:space="preserve"> </w:t>
      </w:r>
      <w:r w:rsidR="00043A14">
        <w:rPr>
          <w:lang w:val="es-NI"/>
        </w:rPr>
        <w:t>En algunos países se han promulgado p</w:t>
      </w:r>
      <w:r w:rsidR="008A689D" w:rsidRPr="008A689D">
        <w:rPr>
          <w:lang w:val="es-NI"/>
        </w:rPr>
        <w:t xml:space="preserve">olíticas y leyes que pueden restringir específicamente </w:t>
      </w:r>
      <w:r w:rsidR="00043A14" w:rsidRPr="008A689D">
        <w:rPr>
          <w:lang w:val="es-NI"/>
        </w:rPr>
        <w:t xml:space="preserve">el acceso </w:t>
      </w:r>
      <w:r w:rsidR="00F7307E" w:rsidRPr="008A689D">
        <w:rPr>
          <w:lang w:val="es-NI"/>
        </w:rPr>
        <w:t xml:space="preserve">a </w:t>
      </w:r>
      <w:r w:rsidR="00F7307E">
        <w:rPr>
          <w:lang w:val="es-NI"/>
        </w:rPr>
        <w:t>LARC</w:t>
      </w:r>
      <w:r w:rsidR="00F7307E" w:rsidRPr="008A689D">
        <w:rPr>
          <w:lang w:val="es-NI"/>
        </w:rPr>
        <w:t xml:space="preserve"> </w:t>
      </w:r>
      <w:r w:rsidR="008A689D" w:rsidRPr="008A689D">
        <w:rPr>
          <w:lang w:val="es-NI"/>
        </w:rPr>
        <w:t>de l</w:t>
      </w:r>
      <w:r w:rsidR="00A93E97">
        <w:rPr>
          <w:lang w:val="es-NI"/>
        </w:rPr>
        <w:t>a</w:t>
      </w:r>
      <w:r w:rsidR="008A689D" w:rsidRPr="008A689D">
        <w:rPr>
          <w:lang w:val="es-NI"/>
        </w:rPr>
        <w:t>s jóvenes, particularmente</w:t>
      </w:r>
      <w:r w:rsidR="00F7307E">
        <w:rPr>
          <w:lang w:val="es-NI"/>
        </w:rPr>
        <w:t xml:space="preserve"> para l</w:t>
      </w:r>
      <w:r w:rsidR="00A93E97">
        <w:rPr>
          <w:lang w:val="es-NI"/>
        </w:rPr>
        <w:t>a</w:t>
      </w:r>
      <w:r w:rsidR="00F7307E">
        <w:rPr>
          <w:lang w:val="es-NI"/>
        </w:rPr>
        <w:t>s</w:t>
      </w:r>
      <w:r w:rsidR="00043A14">
        <w:rPr>
          <w:lang w:val="es-NI"/>
        </w:rPr>
        <w:t xml:space="preserve"> que aún no han tenido hijos </w:t>
      </w:r>
      <w:r w:rsidR="008A689D" w:rsidRPr="008A689D">
        <w:rPr>
          <w:lang w:val="es-NI"/>
        </w:rPr>
        <w:t>(conocid</w:t>
      </w:r>
      <w:r w:rsidR="00043A14">
        <w:rPr>
          <w:lang w:val="es-NI"/>
        </w:rPr>
        <w:t>a</w:t>
      </w:r>
      <w:r w:rsidR="008A689D" w:rsidRPr="008A689D">
        <w:rPr>
          <w:lang w:val="es-NI"/>
        </w:rPr>
        <w:t xml:space="preserve"> como nulíparas) o que no están casad</w:t>
      </w:r>
      <w:r w:rsidR="00043A14">
        <w:rPr>
          <w:lang w:val="es-NI"/>
        </w:rPr>
        <w:t>a</w:t>
      </w:r>
      <w:r w:rsidR="008A689D" w:rsidRPr="008A689D">
        <w:rPr>
          <w:lang w:val="es-NI"/>
        </w:rPr>
        <w:t xml:space="preserve">s. Sin embargo, </w:t>
      </w:r>
      <w:r w:rsidR="00043A14" w:rsidRPr="00043A14">
        <w:rPr>
          <w:b/>
          <w:lang w:val="es-NI"/>
        </w:rPr>
        <w:t xml:space="preserve">varios </w:t>
      </w:r>
      <w:r w:rsidR="002F7373" w:rsidRPr="00043A14">
        <w:rPr>
          <w:b/>
          <w:lang w:val="es-NI"/>
        </w:rPr>
        <w:t xml:space="preserve">grandes </w:t>
      </w:r>
      <w:r w:rsidR="002743AE">
        <w:rPr>
          <w:b/>
          <w:lang w:val="es-NI"/>
        </w:rPr>
        <w:t>entes</w:t>
      </w:r>
      <w:r w:rsidR="008A689D" w:rsidRPr="00043A14">
        <w:rPr>
          <w:b/>
          <w:lang w:val="es-NI"/>
        </w:rPr>
        <w:t xml:space="preserve"> </w:t>
      </w:r>
      <w:r w:rsidR="00043A14" w:rsidRPr="00043A14">
        <w:rPr>
          <w:b/>
          <w:lang w:val="es-NI"/>
        </w:rPr>
        <w:t xml:space="preserve">médicos </w:t>
      </w:r>
      <w:r w:rsidR="008A689D" w:rsidRPr="00043A14">
        <w:rPr>
          <w:b/>
          <w:lang w:val="es-NI"/>
        </w:rPr>
        <w:t>de</w:t>
      </w:r>
      <w:r w:rsidR="00043A14" w:rsidRPr="00043A14">
        <w:rPr>
          <w:b/>
          <w:lang w:val="es-NI"/>
        </w:rPr>
        <w:t>l</w:t>
      </w:r>
      <w:r w:rsidR="008A689D" w:rsidRPr="00043A14">
        <w:rPr>
          <w:b/>
          <w:lang w:val="es-NI"/>
        </w:rPr>
        <w:t xml:space="preserve"> gobierno</w:t>
      </w:r>
      <w:r w:rsidR="008A689D" w:rsidRPr="008A689D">
        <w:rPr>
          <w:lang w:val="es-NI"/>
        </w:rPr>
        <w:t xml:space="preserve"> han emitido declara</w:t>
      </w:r>
      <w:r w:rsidR="00043A14">
        <w:rPr>
          <w:lang w:val="es-NI"/>
        </w:rPr>
        <w:t xml:space="preserve">ciones afirmando la seguridad e idoneidad </w:t>
      </w:r>
      <w:r w:rsidR="008A689D" w:rsidRPr="008A689D">
        <w:rPr>
          <w:lang w:val="es-NI"/>
        </w:rPr>
        <w:t xml:space="preserve">de ofrecer </w:t>
      </w:r>
      <w:r w:rsidR="00043A14">
        <w:rPr>
          <w:lang w:val="es-NI"/>
        </w:rPr>
        <w:t>LARC</w:t>
      </w:r>
      <w:r w:rsidR="008A689D" w:rsidRPr="008A689D">
        <w:rPr>
          <w:lang w:val="es-NI"/>
        </w:rPr>
        <w:t xml:space="preserve"> a </w:t>
      </w:r>
      <w:r w:rsidR="00043A14">
        <w:rPr>
          <w:lang w:val="es-NI"/>
        </w:rPr>
        <w:t xml:space="preserve">los </w:t>
      </w:r>
      <w:r w:rsidR="008A689D" w:rsidRPr="008A689D">
        <w:rPr>
          <w:lang w:val="es-NI"/>
        </w:rPr>
        <w:t>adolescentes y jóvenes</w:t>
      </w:r>
      <w:r w:rsidR="0058124C">
        <w:rPr>
          <w:lang w:val="es-NI"/>
        </w:rPr>
        <w:t>;</w:t>
      </w:r>
      <w:r w:rsidR="008A689D" w:rsidRPr="008A689D">
        <w:rPr>
          <w:lang w:val="es-NI"/>
        </w:rPr>
        <w:t xml:space="preserve"> y </w:t>
      </w:r>
      <w:r w:rsidR="00043A14">
        <w:rPr>
          <w:lang w:val="es-NI"/>
        </w:rPr>
        <w:t xml:space="preserve">la Organización </w:t>
      </w:r>
      <w:r w:rsidR="008A689D" w:rsidRPr="008A689D">
        <w:rPr>
          <w:lang w:val="es-NI"/>
        </w:rPr>
        <w:t xml:space="preserve">Mundial de la </w:t>
      </w:r>
      <w:r w:rsidR="0058124C">
        <w:rPr>
          <w:lang w:val="es-NI"/>
        </w:rPr>
        <w:t>S</w:t>
      </w:r>
      <w:r w:rsidR="008A689D" w:rsidRPr="008A689D">
        <w:rPr>
          <w:lang w:val="es-NI"/>
        </w:rPr>
        <w:t xml:space="preserve">alud (OMS) </w:t>
      </w:r>
      <w:r w:rsidR="00043A14">
        <w:rPr>
          <w:lang w:val="es-NI"/>
        </w:rPr>
        <w:t>señala</w:t>
      </w:r>
      <w:r w:rsidR="00316E19">
        <w:rPr>
          <w:lang w:val="es-NI"/>
        </w:rPr>
        <w:t xml:space="preserve"> que las mujeres adolescentes y nulíparas pueden utilizar </w:t>
      </w:r>
      <w:r w:rsidR="00043A14">
        <w:rPr>
          <w:lang w:val="es-NI"/>
        </w:rPr>
        <w:t>LARC</w:t>
      </w:r>
      <w:r w:rsidR="008A689D" w:rsidRPr="008A689D">
        <w:rPr>
          <w:lang w:val="es-NI"/>
        </w:rPr>
        <w:t xml:space="preserve"> (DIU y los implantes) </w:t>
      </w:r>
      <w:r w:rsidR="00316E19">
        <w:rPr>
          <w:lang w:val="es-NI"/>
        </w:rPr>
        <w:t>de manera segura</w:t>
      </w:r>
      <w:r w:rsidR="008A689D">
        <w:rPr>
          <w:lang w:val="es-NI"/>
        </w:rPr>
        <w:t xml:space="preserve"> </w:t>
      </w:r>
      <w:r w:rsidR="00E26148">
        <w:rPr>
          <w:rStyle w:val="EndnoteReference"/>
        </w:rPr>
        <w:endnoteReference w:id="9"/>
      </w:r>
      <w:r w:rsidR="008A689D">
        <w:rPr>
          <w:lang w:val="es-NI"/>
        </w:rPr>
        <w:t>.</w:t>
      </w:r>
    </w:p>
    <w:p w14:paraId="485D3836" w14:textId="5BBF5A43" w:rsidR="008A689D" w:rsidRPr="008A689D" w:rsidRDefault="00F21719" w:rsidP="00E26148">
      <w:pPr>
        <w:rPr>
          <w:b/>
          <w:lang w:val="es-NI"/>
        </w:rPr>
      </w:pPr>
      <w:r>
        <w:rPr>
          <w:b/>
          <w:lang w:val="es-NI"/>
        </w:rPr>
        <w:t>Etiopía: Proba</w:t>
      </w:r>
      <w:r w:rsidR="006903CD">
        <w:rPr>
          <w:b/>
          <w:lang w:val="es-NI"/>
        </w:rPr>
        <w:t>ndo</w:t>
      </w:r>
      <w:r>
        <w:rPr>
          <w:b/>
          <w:lang w:val="es-NI"/>
        </w:rPr>
        <w:t xml:space="preserve"> </w:t>
      </w:r>
      <w:r w:rsidR="00C7654C">
        <w:rPr>
          <w:b/>
          <w:lang w:val="es-NI"/>
        </w:rPr>
        <w:t>un</w:t>
      </w:r>
      <w:r>
        <w:rPr>
          <w:b/>
          <w:lang w:val="es-NI"/>
        </w:rPr>
        <w:t xml:space="preserve"> </w:t>
      </w:r>
      <w:r w:rsidR="008A689D" w:rsidRPr="008A689D">
        <w:rPr>
          <w:b/>
          <w:lang w:val="es-NI"/>
        </w:rPr>
        <w:t xml:space="preserve">modelo de prestación de servicios </w:t>
      </w:r>
      <w:r w:rsidR="00914EB1">
        <w:rPr>
          <w:b/>
          <w:lang w:val="es-NI"/>
        </w:rPr>
        <w:t xml:space="preserve">que </w:t>
      </w:r>
      <w:r w:rsidR="008A689D" w:rsidRPr="008A689D">
        <w:rPr>
          <w:b/>
          <w:lang w:val="es-NI"/>
        </w:rPr>
        <w:t xml:space="preserve">ofrece </w:t>
      </w:r>
      <w:r>
        <w:rPr>
          <w:b/>
          <w:lang w:val="es-NI"/>
        </w:rPr>
        <w:t>LARC</w:t>
      </w:r>
      <w:r w:rsidR="008A689D" w:rsidRPr="008A689D">
        <w:rPr>
          <w:b/>
          <w:lang w:val="es-NI"/>
        </w:rPr>
        <w:t xml:space="preserve"> a l</w:t>
      </w:r>
      <w:r w:rsidR="00914EB1">
        <w:rPr>
          <w:b/>
          <w:lang w:val="es-NI"/>
        </w:rPr>
        <w:t xml:space="preserve">os jóvenes </w:t>
      </w:r>
      <w:r w:rsidR="008A689D" w:rsidRPr="008A689D">
        <w:rPr>
          <w:b/>
          <w:lang w:val="es-NI"/>
        </w:rPr>
        <w:t xml:space="preserve"> </w:t>
      </w:r>
    </w:p>
    <w:p w14:paraId="4CD4058C" w14:textId="4B851826" w:rsidR="00846CE4" w:rsidRPr="00250A2A" w:rsidRDefault="00250A2A" w:rsidP="00250A2A">
      <w:pPr>
        <w:jc w:val="both"/>
        <w:rPr>
          <w:lang w:val="es-NI"/>
        </w:rPr>
      </w:pPr>
      <w:r w:rsidRPr="00250A2A">
        <w:rPr>
          <w:lang w:val="es-NI"/>
        </w:rPr>
        <w:t xml:space="preserve">Etiopía es el segundo país </w:t>
      </w:r>
      <w:r w:rsidR="00F21719">
        <w:rPr>
          <w:lang w:val="es-NI"/>
        </w:rPr>
        <w:t xml:space="preserve">más grande </w:t>
      </w:r>
      <w:r w:rsidRPr="00250A2A">
        <w:rPr>
          <w:lang w:val="es-NI"/>
        </w:rPr>
        <w:t xml:space="preserve">de África y tiene una </w:t>
      </w:r>
      <w:r w:rsidR="00F21719">
        <w:rPr>
          <w:lang w:val="es-NI"/>
        </w:rPr>
        <w:t>población</w:t>
      </w:r>
      <w:r w:rsidRPr="00250A2A">
        <w:rPr>
          <w:lang w:val="es-NI"/>
        </w:rPr>
        <w:t xml:space="preserve"> predominantemente joven y rural. Con una población de aproximadamente 99</w:t>
      </w:r>
      <w:r w:rsidR="00F21719">
        <w:rPr>
          <w:lang w:val="es-NI"/>
        </w:rPr>
        <w:t>.</w:t>
      </w:r>
      <w:r w:rsidRPr="00250A2A">
        <w:rPr>
          <w:lang w:val="es-NI"/>
        </w:rPr>
        <w:t>4 millones</w:t>
      </w:r>
      <w:r w:rsidR="00F21719" w:rsidRPr="00F21719">
        <w:rPr>
          <w:lang w:val="es-NI"/>
        </w:rPr>
        <w:t xml:space="preserve"> </w:t>
      </w:r>
      <w:r w:rsidR="00F21719">
        <w:rPr>
          <w:lang w:val="es-NI"/>
        </w:rPr>
        <w:t>en el</w:t>
      </w:r>
      <w:r w:rsidR="00F21719" w:rsidRPr="00250A2A">
        <w:rPr>
          <w:lang w:val="es-NI"/>
        </w:rPr>
        <w:t xml:space="preserve"> 2016</w:t>
      </w:r>
      <w:r w:rsidRPr="00250A2A">
        <w:rPr>
          <w:lang w:val="es-NI"/>
        </w:rPr>
        <w:t>, Etiopía es el país más poblad</w:t>
      </w:r>
      <w:r w:rsidR="00F21719">
        <w:rPr>
          <w:lang w:val="es-NI"/>
        </w:rPr>
        <w:t>o</w:t>
      </w:r>
      <w:r w:rsidRPr="00250A2A">
        <w:rPr>
          <w:lang w:val="es-NI"/>
        </w:rPr>
        <w:t xml:space="preserve"> </w:t>
      </w:r>
      <w:r w:rsidR="00F21719">
        <w:rPr>
          <w:lang w:val="es-NI"/>
        </w:rPr>
        <w:t xml:space="preserve">sin salida al mar </w:t>
      </w:r>
      <w:r w:rsidRPr="00250A2A">
        <w:rPr>
          <w:lang w:val="es-NI"/>
        </w:rPr>
        <w:t xml:space="preserve">en el continente africano y el segundo más poblado de África después de Nigeria. </w:t>
      </w:r>
      <w:r w:rsidR="003113EF">
        <w:rPr>
          <w:lang w:val="es-NI"/>
        </w:rPr>
        <w:t xml:space="preserve"> En la </w:t>
      </w:r>
      <w:r w:rsidR="003113EF" w:rsidRPr="00250A2A">
        <w:rPr>
          <w:lang w:val="es-NI"/>
        </w:rPr>
        <w:t>actual</w:t>
      </w:r>
      <w:r w:rsidR="003113EF">
        <w:rPr>
          <w:lang w:val="es-NI"/>
        </w:rPr>
        <w:t>idad</w:t>
      </w:r>
      <w:r w:rsidR="003113EF" w:rsidRPr="00250A2A">
        <w:rPr>
          <w:lang w:val="es-NI"/>
        </w:rPr>
        <w:t xml:space="preserve"> </w:t>
      </w:r>
      <w:r w:rsidRPr="00250A2A">
        <w:rPr>
          <w:lang w:val="es-NI"/>
        </w:rPr>
        <w:t xml:space="preserve">Etiopía es uno de los países </w:t>
      </w:r>
      <w:r w:rsidR="00483F80">
        <w:rPr>
          <w:lang w:val="es-NI"/>
        </w:rPr>
        <w:t>con</w:t>
      </w:r>
      <w:r w:rsidRPr="00250A2A">
        <w:rPr>
          <w:lang w:val="es-NI"/>
        </w:rPr>
        <w:t xml:space="preserve"> más rápido crecimiento en el mundo, con una tasa de crecimiento</w:t>
      </w:r>
      <w:r w:rsidR="00483F80">
        <w:rPr>
          <w:lang w:val="es-NI"/>
        </w:rPr>
        <w:t xml:space="preserve"> anual </w:t>
      </w:r>
      <w:r w:rsidRPr="00250A2A">
        <w:rPr>
          <w:lang w:val="es-NI"/>
        </w:rPr>
        <w:t>de</w:t>
      </w:r>
      <w:r w:rsidR="00006CAF">
        <w:rPr>
          <w:lang w:val="es-NI"/>
        </w:rPr>
        <w:t>l</w:t>
      </w:r>
      <w:r w:rsidRPr="00250A2A">
        <w:rPr>
          <w:lang w:val="es-NI"/>
        </w:rPr>
        <w:t xml:space="preserve"> 3.02</w:t>
      </w:r>
      <w:r w:rsidR="00483F80">
        <w:rPr>
          <w:lang w:val="es-NI"/>
        </w:rPr>
        <w:t>%</w:t>
      </w:r>
      <w:r w:rsidRPr="00250A2A">
        <w:rPr>
          <w:lang w:val="es-NI"/>
        </w:rPr>
        <w:t xml:space="preserve">. </w:t>
      </w:r>
      <w:r w:rsidR="00483F80">
        <w:rPr>
          <w:lang w:val="es-NI"/>
        </w:rPr>
        <w:t xml:space="preserve"> </w:t>
      </w:r>
      <w:r w:rsidRPr="00250A2A">
        <w:rPr>
          <w:lang w:val="es-NI"/>
        </w:rPr>
        <w:t>En consecuencia, el país está experimentando un crecimiento considerable en la población juvenil.</w:t>
      </w:r>
      <w:r w:rsidR="00886496">
        <w:rPr>
          <w:lang w:val="es-NI"/>
        </w:rPr>
        <w:t xml:space="preserve"> </w:t>
      </w:r>
      <w:r w:rsidRPr="00250A2A">
        <w:rPr>
          <w:lang w:val="es-NI"/>
        </w:rPr>
        <w:t xml:space="preserve"> Aproximadamente un tercio de la población de Etiopía es menor de 25 años (33 millones de niños y jóvenes)</w:t>
      </w:r>
      <w:r w:rsidR="00297BA5">
        <w:rPr>
          <w:rStyle w:val="EndnoteReference"/>
        </w:rPr>
        <w:endnoteReference w:id="10"/>
      </w:r>
      <w:r>
        <w:rPr>
          <w:lang w:val="es-NI"/>
        </w:rPr>
        <w:t xml:space="preserve">. </w:t>
      </w:r>
      <w:r w:rsidR="00886496">
        <w:rPr>
          <w:lang w:val="es-NI"/>
        </w:rPr>
        <w:t xml:space="preserve"> </w:t>
      </w:r>
      <w:r w:rsidRPr="00250A2A">
        <w:rPr>
          <w:lang w:val="es-NI"/>
        </w:rPr>
        <w:t xml:space="preserve">Si Etiopía </w:t>
      </w:r>
      <w:r w:rsidR="00886496">
        <w:rPr>
          <w:lang w:val="es-NI"/>
        </w:rPr>
        <w:t xml:space="preserve">continua con el </w:t>
      </w:r>
      <w:r w:rsidRPr="00250A2A">
        <w:rPr>
          <w:lang w:val="es-NI"/>
        </w:rPr>
        <w:t xml:space="preserve">ritmo </w:t>
      </w:r>
      <w:r w:rsidR="00886496" w:rsidRPr="00250A2A">
        <w:rPr>
          <w:lang w:val="es-NI"/>
        </w:rPr>
        <w:t xml:space="preserve">de crecimiento </w:t>
      </w:r>
      <w:r w:rsidRPr="00250A2A">
        <w:rPr>
          <w:lang w:val="es-NI"/>
        </w:rPr>
        <w:t xml:space="preserve">actual, </w:t>
      </w:r>
      <w:r w:rsidR="00886496" w:rsidRPr="00250A2A">
        <w:rPr>
          <w:lang w:val="es-NI"/>
        </w:rPr>
        <w:t xml:space="preserve">en 30 años </w:t>
      </w:r>
      <w:r w:rsidRPr="00250A2A">
        <w:rPr>
          <w:lang w:val="es-NI"/>
        </w:rPr>
        <w:t xml:space="preserve">su población se duplicará, </w:t>
      </w:r>
      <w:r w:rsidR="00886496">
        <w:rPr>
          <w:lang w:val="es-NI"/>
        </w:rPr>
        <w:t xml:space="preserve">llegando a los </w:t>
      </w:r>
      <w:r w:rsidRPr="00250A2A">
        <w:rPr>
          <w:lang w:val="es-NI"/>
        </w:rPr>
        <w:t xml:space="preserve">210 millones </w:t>
      </w:r>
      <w:r w:rsidR="00886496">
        <w:rPr>
          <w:lang w:val="es-NI"/>
        </w:rPr>
        <w:t xml:space="preserve">en el </w:t>
      </w:r>
      <w:r w:rsidRPr="00250A2A">
        <w:rPr>
          <w:lang w:val="es-NI"/>
        </w:rPr>
        <w:t>2060.</w:t>
      </w:r>
      <w:r w:rsidR="00F21719">
        <w:rPr>
          <w:lang w:val="es-NI"/>
        </w:rPr>
        <w:t xml:space="preserve"> </w:t>
      </w:r>
    </w:p>
    <w:p w14:paraId="50946511" w14:textId="6F0E3491" w:rsidR="00AF3215" w:rsidRPr="00250A2A" w:rsidRDefault="00886496" w:rsidP="00250A2A">
      <w:pPr>
        <w:jc w:val="both"/>
        <w:rPr>
          <w:lang w:val="es-NI"/>
        </w:rPr>
      </w:pPr>
      <w:r>
        <w:rPr>
          <w:lang w:val="es-NI"/>
        </w:rPr>
        <w:t>Los d</w:t>
      </w:r>
      <w:r w:rsidR="00250A2A" w:rsidRPr="00250A2A">
        <w:rPr>
          <w:lang w:val="es-NI"/>
        </w:rPr>
        <w:t>atos de</w:t>
      </w:r>
      <w:r>
        <w:rPr>
          <w:lang w:val="es-NI"/>
        </w:rPr>
        <w:t xml:space="preserve"> la Encuesta Demográfica y de Salud</w:t>
      </w:r>
      <w:r w:rsidR="00250A2A" w:rsidRPr="00250A2A">
        <w:rPr>
          <w:lang w:val="es-NI"/>
        </w:rPr>
        <w:t xml:space="preserve"> </w:t>
      </w:r>
      <w:r>
        <w:rPr>
          <w:lang w:val="es-NI"/>
        </w:rPr>
        <w:t xml:space="preserve">nos </w:t>
      </w:r>
      <w:r w:rsidR="00250A2A" w:rsidRPr="00250A2A">
        <w:rPr>
          <w:lang w:val="es-NI"/>
        </w:rPr>
        <w:t xml:space="preserve">muestra que los jóvenes </w:t>
      </w:r>
      <w:r w:rsidR="00ED13CF">
        <w:rPr>
          <w:lang w:val="es-NI"/>
        </w:rPr>
        <w:t>desean tener una</w:t>
      </w:r>
      <w:r w:rsidR="00250A2A" w:rsidRPr="00250A2A">
        <w:rPr>
          <w:lang w:val="es-NI"/>
        </w:rPr>
        <w:t xml:space="preserve"> familia</w:t>
      </w:r>
      <w:r w:rsidR="00ED13CF">
        <w:rPr>
          <w:lang w:val="es-NI"/>
        </w:rPr>
        <w:t xml:space="preserve"> más pequeña en comparación con </w:t>
      </w:r>
      <w:r w:rsidR="00250A2A" w:rsidRPr="00250A2A">
        <w:rPr>
          <w:lang w:val="es-NI"/>
        </w:rPr>
        <w:t xml:space="preserve">cualquier otro grupo </w:t>
      </w:r>
      <w:r w:rsidR="00ED13CF">
        <w:rPr>
          <w:lang w:val="es-NI"/>
        </w:rPr>
        <w:t>de ed</w:t>
      </w:r>
      <w:r w:rsidR="00250A2A" w:rsidRPr="00250A2A">
        <w:rPr>
          <w:lang w:val="es-NI"/>
        </w:rPr>
        <w:t xml:space="preserve">ad </w:t>
      </w:r>
      <w:r w:rsidR="003A5023">
        <w:rPr>
          <w:lang w:val="es-NI"/>
        </w:rPr>
        <w:t>de</w:t>
      </w:r>
      <w:r w:rsidR="00250A2A" w:rsidRPr="00250A2A">
        <w:rPr>
          <w:lang w:val="es-NI"/>
        </w:rPr>
        <w:t xml:space="preserve"> la población (ver figura 1).</w:t>
      </w:r>
      <w:r w:rsidR="003A5023">
        <w:rPr>
          <w:lang w:val="es-NI"/>
        </w:rPr>
        <w:t xml:space="preserve"> </w:t>
      </w:r>
      <w:r w:rsidR="00250A2A" w:rsidRPr="00250A2A">
        <w:rPr>
          <w:lang w:val="es-NI"/>
        </w:rPr>
        <w:t xml:space="preserve"> </w:t>
      </w:r>
      <w:r w:rsidR="003A5023">
        <w:rPr>
          <w:lang w:val="es-NI"/>
        </w:rPr>
        <w:t>De</w:t>
      </w:r>
      <w:r w:rsidR="00250A2A" w:rsidRPr="00250A2A">
        <w:rPr>
          <w:lang w:val="es-NI"/>
        </w:rPr>
        <w:t xml:space="preserve"> l</w:t>
      </w:r>
      <w:r w:rsidR="003A5023">
        <w:rPr>
          <w:lang w:val="es-NI"/>
        </w:rPr>
        <w:t xml:space="preserve">as </w:t>
      </w:r>
      <w:r w:rsidR="00250A2A" w:rsidRPr="00250A2A">
        <w:rPr>
          <w:lang w:val="es-NI"/>
        </w:rPr>
        <w:t xml:space="preserve">etíopes </w:t>
      </w:r>
      <w:r w:rsidR="003A5023">
        <w:rPr>
          <w:lang w:val="es-NI"/>
        </w:rPr>
        <w:t>entre los 15-19 años</w:t>
      </w:r>
      <w:r w:rsidR="00250A2A" w:rsidRPr="00250A2A">
        <w:rPr>
          <w:lang w:val="es-NI"/>
        </w:rPr>
        <w:t xml:space="preserve">, </w:t>
      </w:r>
      <w:r w:rsidR="0041129F">
        <w:rPr>
          <w:lang w:val="es-NI"/>
        </w:rPr>
        <w:t xml:space="preserve">un </w:t>
      </w:r>
      <w:r w:rsidR="003A5023">
        <w:rPr>
          <w:lang w:val="es-NI"/>
        </w:rPr>
        <w:t>1</w:t>
      </w:r>
      <w:r w:rsidR="00250A2A" w:rsidRPr="00250A2A">
        <w:rPr>
          <w:lang w:val="es-NI"/>
        </w:rPr>
        <w:t>2</w:t>
      </w:r>
      <w:r w:rsidR="003A5023">
        <w:rPr>
          <w:lang w:val="es-NI"/>
        </w:rPr>
        <w:t>%</w:t>
      </w:r>
      <w:r w:rsidR="00250A2A" w:rsidRPr="00250A2A">
        <w:rPr>
          <w:lang w:val="es-NI"/>
        </w:rPr>
        <w:t xml:space="preserve"> de las mujeres jóvenes han empezado a tener hijos y sólo el 5</w:t>
      </w:r>
      <w:r w:rsidR="003A5023">
        <w:rPr>
          <w:lang w:val="es-NI"/>
        </w:rPr>
        <w:t>%</w:t>
      </w:r>
      <w:r w:rsidR="00250A2A" w:rsidRPr="00250A2A">
        <w:rPr>
          <w:lang w:val="es-NI"/>
        </w:rPr>
        <w:t xml:space="preserve"> utiliza </w:t>
      </w:r>
      <w:r w:rsidR="003A5023">
        <w:rPr>
          <w:lang w:val="es-NI"/>
        </w:rPr>
        <w:t xml:space="preserve">un </w:t>
      </w:r>
      <w:r w:rsidR="00250A2A" w:rsidRPr="00250A2A">
        <w:rPr>
          <w:lang w:val="es-NI"/>
        </w:rPr>
        <w:t xml:space="preserve">método anticonceptivo moderno, a pesar de la alta </w:t>
      </w:r>
      <w:r w:rsidR="003A5023">
        <w:rPr>
          <w:lang w:val="es-NI"/>
        </w:rPr>
        <w:t xml:space="preserve">tasa de </w:t>
      </w:r>
      <w:r w:rsidR="00250A2A" w:rsidRPr="00250A2A">
        <w:rPr>
          <w:lang w:val="es-NI"/>
        </w:rPr>
        <w:t xml:space="preserve">necesidad insatisfecha de espaciamiento entre las adolescentes casadas (30%). </w:t>
      </w:r>
      <w:r w:rsidR="00C10949">
        <w:rPr>
          <w:lang w:val="es-NI"/>
        </w:rPr>
        <w:t xml:space="preserve"> </w:t>
      </w:r>
      <w:r w:rsidR="00250A2A" w:rsidRPr="00250A2A">
        <w:rPr>
          <w:lang w:val="es-NI"/>
        </w:rPr>
        <w:t>Aunque la tasa</w:t>
      </w:r>
      <w:r w:rsidR="003A5023">
        <w:rPr>
          <w:lang w:val="es-NI"/>
        </w:rPr>
        <w:t xml:space="preserve"> de</w:t>
      </w:r>
      <w:r w:rsidR="00250A2A" w:rsidRPr="00250A2A">
        <w:rPr>
          <w:lang w:val="es-NI"/>
        </w:rPr>
        <w:t xml:space="preserve"> uso de anticonceptivos modernos ha aumentado entre los jóvenes, la mayoría de ellos todavía utilizan métodos de corta</w:t>
      </w:r>
      <w:r w:rsidR="003A5023">
        <w:rPr>
          <w:lang w:val="es-NI"/>
        </w:rPr>
        <w:t xml:space="preserve"> duración</w:t>
      </w:r>
      <w:r w:rsidR="00250A2A" w:rsidRPr="00250A2A">
        <w:rPr>
          <w:lang w:val="es-NI"/>
        </w:rPr>
        <w:t xml:space="preserve">. </w:t>
      </w:r>
      <w:r w:rsidR="003A5023">
        <w:rPr>
          <w:lang w:val="es-NI"/>
        </w:rPr>
        <w:t xml:space="preserve"> Po</w:t>
      </w:r>
      <w:r w:rsidR="003A5023" w:rsidRPr="00250A2A">
        <w:rPr>
          <w:lang w:val="es-NI"/>
        </w:rPr>
        <w:t xml:space="preserve">r </w:t>
      </w:r>
      <w:r w:rsidR="003A5023" w:rsidRPr="00250A2A">
        <w:rPr>
          <w:lang w:val="es-NI"/>
        </w:rPr>
        <w:lastRenderedPageBreak/>
        <w:t>ejemplo</w:t>
      </w:r>
      <w:r w:rsidR="003A5023">
        <w:rPr>
          <w:lang w:val="es-NI"/>
        </w:rPr>
        <w:t>, de t</w:t>
      </w:r>
      <w:r w:rsidR="00250A2A" w:rsidRPr="00250A2A">
        <w:rPr>
          <w:lang w:val="es-NI"/>
        </w:rPr>
        <w:t>odas las mujeres entre 20</w:t>
      </w:r>
      <w:r w:rsidR="003A5023">
        <w:rPr>
          <w:lang w:val="es-NI"/>
        </w:rPr>
        <w:t>-</w:t>
      </w:r>
      <w:r w:rsidR="00250A2A" w:rsidRPr="00250A2A">
        <w:rPr>
          <w:lang w:val="es-NI"/>
        </w:rPr>
        <w:t>24</w:t>
      </w:r>
      <w:r w:rsidR="003A5023">
        <w:rPr>
          <w:lang w:val="es-NI"/>
        </w:rPr>
        <w:t xml:space="preserve"> años</w:t>
      </w:r>
      <w:r w:rsidR="00250A2A" w:rsidRPr="00250A2A">
        <w:rPr>
          <w:lang w:val="es-NI"/>
        </w:rPr>
        <w:t>, s</w:t>
      </w:r>
      <w:r w:rsidR="00667664">
        <w:rPr>
          <w:lang w:val="es-NI"/>
        </w:rPr>
        <w:t xml:space="preserve">ólo el </w:t>
      </w:r>
      <w:r w:rsidR="00250A2A" w:rsidRPr="00250A2A">
        <w:rPr>
          <w:lang w:val="es-NI"/>
        </w:rPr>
        <w:t>5</w:t>
      </w:r>
      <w:r w:rsidR="00667664">
        <w:rPr>
          <w:lang w:val="es-NI"/>
        </w:rPr>
        <w:t>%</w:t>
      </w:r>
      <w:r w:rsidR="00250A2A" w:rsidRPr="00250A2A">
        <w:rPr>
          <w:lang w:val="es-NI"/>
        </w:rPr>
        <w:t xml:space="preserve"> utiliza implantes, mientras que</w:t>
      </w:r>
      <w:r w:rsidR="00521C0B">
        <w:rPr>
          <w:lang w:val="es-NI"/>
        </w:rPr>
        <w:t xml:space="preserve"> el</w:t>
      </w:r>
      <w:r w:rsidR="00250A2A" w:rsidRPr="00250A2A">
        <w:rPr>
          <w:lang w:val="es-NI"/>
        </w:rPr>
        <w:t xml:space="preserve"> 23</w:t>
      </w:r>
      <w:r w:rsidR="00667664">
        <w:rPr>
          <w:lang w:val="es-NI"/>
        </w:rPr>
        <w:t>%</w:t>
      </w:r>
      <w:r w:rsidR="00250A2A" w:rsidRPr="00250A2A">
        <w:rPr>
          <w:lang w:val="es-NI"/>
        </w:rPr>
        <w:t xml:space="preserve"> u</w:t>
      </w:r>
      <w:r w:rsidR="00667664">
        <w:rPr>
          <w:lang w:val="es-NI"/>
        </w:rPr>
        <w:t>sa inyecciones</w:t>
      </w:r>
      <w:r w:rsidR="00E26148">
        <w:rPr>
          <w:rStyle w:val="EndnoteReference"/>
        </w:rPr>
        <w:endnoteReference w:id="11"/>
      </w:r>
      <w:r w:rsidR="00250A2A" w:rsidRPr="00250A2A">
        <w:rPr>
          <w:lang w:val="es-NI"/>
        </w:rPr>
        <w:t>.</w:t>
      </w:r>
    </w:p>
    <w:p w14:paraId="290B4A90" w14:textId="2A1E9EA2" w:rsidR="00297BA5" w:rsidRPr="00B87158" w:rsidRDefault="00250A2A" w:rsidP="00B87158">
      <w:pPr>
        <w:jc w:val="center"/>
        <w:rPr>
          <w:b/>
          <w:i/>
        </w:rPr>
      </w:pPr>
      <w:r>
        <w:rPr>
          <w:b/>
          <w:i/>
        </w:rPr>
        <w:t>Gráfico 1</w:t>
      </w:r>
    </w:p>
    <w:p w14:paraId="25971A10" w14:textId="411AA92F" w:rsidR="00D02BD1" w:rsidRDefault="00D02BD1" w:rsidP="00B87158">
      <w:pPr>
        <w:jc w:val="center"/>
      </w:pPr>
      <w:r>
        <w:rPr>
          <w:noProof/>
        </w:rPr>
        <w:drawing>
          <wp:inline distT="0" distB="0" distL="0" distR="0" wp14:anchorId="36D94F29" wp14:editId="2EA9B64A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F91E4CF" w14:textId="73590242" w:rsidR="00250A2A" w:rsidRDefault="00250A2A" w:rsidP="00B06BBB">
      <w:pPr>
        <w:spacing w:after="0"/>
        <w:jc w:val="both"/>
        <w:rPr>
          <w:lang w:val="es-NI"/>
        </w:rPr>
      </w:pPr>
      <w:r w:rsidRPr="00BF28CE">
        <w:rPr>
          <w:lang w:val="es-NI"/>
        </w:rPr>
        <w:t xml:space="preserve">Para apoyar el acceso ampliado a toda la gama de métodos anticonceptivos entre los jóvenes, E2A realizó un estudio longitudinal para probar el acceso ampliado a </w:t>
      </w:r>
      <w:r w:rsidR="00F607B2" w:rsidRPr="00BF28CE">
        <w:rPr>
          <w:lang w:val="es-NI"/>
        </w:rPr>
        <w:t>LARC</w:t>
      </w:r>
      <w:r w:rsidRPr="00BF28CE">
        <w:rPr>
          <w:lang w:val="es-NI"/>
        </w:rPr>
        <w:t xml:space="preserve">. </w:t>
      </w:r>
      <w:r w:rsidR="00F607B2" w:rsidRPr="00BF28CE">
        <w:rPr>
          <w:lang w:val="es-NI"/>
        </w:rPr>
        <w:t xml:space="preserve"> </w:t>
      </w:r>
      <w:r w:rsidRPr="00BF28CE">
        <w:rPr>
          <w:lang w:val="es-NI"/>
        </w:rPr>
        <w:t>De junio de</w:t>
      </w:r>
      <w:r w:rsidR="009C7FA1" w:rsidRPr="00BF28CE">
        <w:rPr>
          <w:lang w:val="es-NI"/>
        </w:rPr>
        <w:t>l</w:t>
      </w:r>
      <w:r w:rsidRPr="00BF28CE">
        <w:rPr>
          <w:lang w:val="es-NI"/>
        </w:rPr>
        <w:t xml:space="preserve"> 2014 a </w:t>
      </w:r>
      <w:r w:rsidR="009C7FA1" w:rsidRPr="00BF28CE">
        <w:rPr>
          <w:lang w:val="es-NI"/>
        </w:rPr>
        <w:t xml:space="preserve">abril </w:t>
      </w:r>
      <w:r w:rsidRPr="00BF28CE">
        <w:rPr>
          <w:lang w:val="es-NI"/>
        </w:rPr>
        <w:t>de</w:t>
      </w:r>
      <w:r w:rsidR="009C7FA1" w:rsidRPr="00BF28CE">
        <w:rPr>
          <w:lang w:val="es-NI"/>
        </w:rPr>
        <w:t>l</w:t>
      </w:r>
      <w:r w:rsidRPr="00BF28CE">
        <w:rPr>
          <w:lang w:val="es-NI"/>
        </w:rPr>
        <w:t xml:space="preserve"> 2015, en colaboración con el </w:t>
      </w:r>
      <w:r w:rsidR="0035250B" w:rsidRPr="00BF28CE">
        <w:rPr>
          <w:lang w:val="es-NI"/>
        </w:rPr>
        <w:t>P</w:t>
      </w:r>
      <w:r w:rsidRPr="00BF28CE">
        <w:rPr>
          <w:lang w:val="es-NI"/>
        </w:rPr>
        <w:t xml:space="preserve">rograma Plus </w:t>
      </w:r>
      <w:r w:rsidR="0035250B" w:rsidRPr="00BF28CE">
        <w:rPr>
          <w:lang w:val="es-NI"/>
        </w:rPr>
        <w:t>S</w:t>
      </w:r>
      <w:r w:rsidR="008D6127" w:rsidRPr="00BF28CE">
        <w:rPr>
          <w:lang w:val="es-NI"/>
        </w:rPr>
        <w:t xml:space="preserve">alud </w:t>
      </w:r>
      <w:r w:rsidR="0035250B" w:rsidRPr="00BF28CE">
        <w:rPr>
          <w:lang w:val="es-NI"/>
        </w:rPr>
        <w:t>F</w:t>
      </w:r>
      <w:r w:rsidR="008D6127" w:rsidRPr="00BF28CE">
        <w:rPr>
          <w:lang w:val="es-NI"/>
        </w:rPr>
        <w:t>amilia</w:t>
      </w:r>
      <w:r w:rsidR="0035250B" w:rsidRPr="00BF28CE">
        <w:rPr>
          <w:lang w:val="es-NI"/>
        </w:rPr>
        <w:t>r</w:t>
      </w:r>
      <w:r w:rsidR="008D6127" w:rsidRPr="00BF28CE">
        <w:rPr>
          <w:lang w:val="es-NI"/>
        </w:rPr>
        <w:t xml:space="preserve"> </w:t>
      </w:r>
      <w:r w:rsidR="0035250B" w:rsidRPr="00BF28CE">
        <w:rPr>
          <w:lang w:val="es-NI"/>
        </w:rPr>
        <w:t>I</w:t>
      </w:r>
      <w:r w:rsidR="008D6127" w:rsidRPr="00BF28CE">
        <w:rPr>
          <w:lang w:val="es-NI"/>
        </w:rPr>
        <w:t xml:space="preserve">ntegral </w:t>
      </w:r>
      <w:r w:rsidRPr="00BF28CE">
        <w:rPr>
          <w:lang w:val="es-NI"/>
        </w:rPr>
        <w:t>(IFHP +</w:t>
      </w:r>
      <w:r w:rsidR="008D6127" w:rsidRPr="00BF28CE">
        <w:rPr>
          <w:lang w:val="es-NI"/>
        </w:rPr>
        <w:t xml:space="preserve"> por sus siglas en inglés</w:t>
      </w:r>
      <w:r w:rsidRPr="00BF28CE">
        <w:rPr>
          <w:lang w:val="es-NI"/>
        </w:rPr>
        <w:t>), E2A evaluó un modelo de prestación de servicio</w:t>
      </w:r>
      <w:r w:rsidR="002E553D">
        <w:rPr>
          <w:lang w:val="es-NI"/>
        </w:rPr>
        <w:t>s</w:t>
      </w:r>
      <w:r w:rsidRPr="00BF28CE">
        <w:rPr>
          <w:lang w:val="es-NI"/>
        </w:rPr>
        <w:t xml:space="preserve"> en 20 </w:t>
      </w:r>
      <w:r w:rsidR="002C68C5">
        <w:rPr>
          <w:lang w:val="es-NI"/>
        </w:rPr>
        <w:t xml:space="preserve">unidades </w:t>
      </w:r>
      <w:r w:rsidRPr="00BF28CE">
        <w:rPr>
          <w:lang w:val="es-NI"/>
        </w:rPr>
        <w:t xml:space="preserve">de salud </w:t>
      </w:r>
      <w:r w:rsidR="002E553D">
        <w:rPr>
          <w:lang w:val="es-NI"/>
        </w:rPr>
        <w:t>adaptad</w:t>
      </w:r>
      <w:r w:rsidR="00AD71C4">
        <w:rPr>
          <w:lang w:val="es-NI"/>
        </w:rPr>
        <w:t>a</w:t>
      </w:r>
      <w:r w:rsidR="002E553D">
        <w:rPr>
          <w:lang w:val="es-NI"/>
        </w:rPr>
        <w:t>s</w:t>
      </w:r>
      <w:r w:rsidR="00D67EE7" w:rsidRPr="00BF28CE">
        <w:rPr>
          <w:lang w:val="es-NI"/>
        </w:rPr>
        <w:t xml:space="preserve"> a</w:t>
      </w:r>
      <w:r w:rsidRPr="00BF28CE">
        <w:rPr>
          <w:lang w:val="es-NI"/>
        </w:rPr>
        <w:t xml:space="preserve"> </w:t>
      </w:r>
      <w:r w:rsidR="002E553D">
        <w:rPr>
          <w:lang w:val="es-NI"/>
        </w:rPr>
        <w:t xml:space="preserve">los </w:t>
      </w:r>
      <w:r w:rsidRPr="00BF28CE">
        <w:rPr>
          <w:lang w:val="es-NI"/>
        </w:rPr>
        <w:t xml:space="preserve">jóvenes en las regiones de Amhara y Tigray </w:t>
      </w:r>
      <w:r w:rsidR="00185A3D" w:rsidRPr="00BF28CE">
        <w:rPr>
          <w:lang w:val="es-NI"/>
        </w:rPr>
        <w:t>en</w:t>
      </w:r>
      <w:r w:rsidRPr="00BF28CE">
        <w:rPr>
          <w:lang w:val="es-NI"/>
        </w:rPr>
        <w:t xml:space="preserve"> Etiopía. El modelo </w:t>
      </w:r>
      <w:r w:rsidR="00853B08" w:rsidRPr="00BF28CE">
        <w:rPr>
          <w:lang w:val="es-NI"/>
        </w:rPr>
        <w:t xml:space="preserve">brindó </w:t>
      </w:r>
      <w:r w:rsidR="009A3DA3" w:rsidRPr="00BF28CE">
        <w:rPr>
          <w:lang w:val="es-NI"/>
        </w:rPr>
        <w:t xml:space="preserve">consejería </w:t>
      </w:r>
      <w:r w:rsidR="00853B08" w:rsidRPr="00BF28CE">
        <w:rPr>
          <w:lang w:val="es-NI"/>
        </w:rPr>
        <w:t xml:space="preserve">y servicios </w:t>
      </w:r>
      <w:r w:rsidR="00B5146D" w:rsidRPr="00BF28CE">
        <w:rPr>
          <w:lang w:val="es-NI"/>
        </w:rPr>
        <w:t xml:space="preserve">sobre anticonceptivos </w:t>
      </w:r>
      <w:r w:rsidRPr="00BF28CE">
        <w:rPr>
          <w:lang w:val="es-NI"/>
        </w:rPr>
        <w:t xml:space="preserve">a </w:t>
      </w:r>
      <w:r w:rsidR="00B5146D" w:rsidRPr="00BF28CE">
        <w:rPr>
          <w:lang w:val="es-NI"/>
        </w:rPr>
        <w:t>usuarios</w:t>
      </w:r>
      <w:r w:rsidRPr="00BF28CE">
        <w:rPr>
          <w:lang w:val="es-NI"/>
        </w:rPr>
        <w:t xml:space="preserve"> jóvenes. </w:t>
      </w:r>
      <w:r w:rsidR="00DA2716" w:rsidRPr="00BF28CE">
        <w:rPr>
          <w:lang w:val="es-NI"/>
        </w:rPr>
        <w:t xml:space="preserve"> </w:t>
      </w:r>
      <w:r w:rsidR="00A431F2">
        <w:rPr>
          <w:lang w:val="es-NI"/>
        </w:rPr>
        <w:t xml:space="preserve"> En l</w:t>
      </w:r>
      <w:r w:rsidRPr="00BF28CE">
        <w:rPr>
          <w:lang w:val="es-NI"/>
        </w:rPr>
        <w:t>a mitad de l</w:t>
      </w:r>
      <w:r w:rsidR="00545265">
        <w:rPr>
          <w:lang w:val="es-NI"/>
        </w:rPr>
        <w:t>a</w:t>
      </w:r>
      <w:r w:rsidR="000D62F5">
        <w:rPr>
          <w:lang w:val="es-NI"/>
        </w:rPr>
        <w:t>s</w:t>
      </w:r>
      <w:r w:rsidR="00545265">
        <w:rPr>
          <w:lang w:val="es-NI"/>
        </w:rPr>
        <w:t xml:space="preserve"> unidades </w:t>
      </w:r>
      <w:r w:rsidR="00A431F2">
        <w:rPr>
          <w:lang w:val="es-NI"/>
        </w:rPr>
        <w:t xml:space="preserve">se </w:t>
      </w:r>
      <w:r w:rsidRPr="00BF28CE">
        <w:rPr>
          <w:lang w:val="es-NI"/>
        </w:rPr>
        <w:t>recibi</w:t>
      </w:r>
      <w:r w:rsidR="00A431F2">
        <w:rPr>
          <w:lang w:val="es-NI"/>
        </w:rPr>
        <w:t>ó</w:t>
      </w:r>
      <w:r w:rsidRPr="00BF28CE">
        <w:rPr>
          <w:lang w:val="es-NI"/>
        </w:rPr>
        <w:t xml:space="preserve"> información y consejería</w:t>
      </w:r>
      <w:r w:rsidR="00DA2716" w:rsidRPr="00BF28CE">
        <w:rPr>
          <w:lang w:val="es-NI"/>
        </w:rPr>
        <w:t xml:space="preserve"> ampliada</w:t>
      </w:r>
      <w:r w:rsidRPr="00BF28CE">
        <w:rPr>
          <w:lang w:val="es-NI"/>
        </w:rPr>
        <w:t xml:space="preserve">, así como acceso a </w:t>
      </w:r>
      <w:r w:rsidR="00DA2716" w:rsidRPr="00BF28CE">
        <w:rPr>
          <w:lang w:val="es-NI"/>
        </w:rPr>
        <w:t>LARC</w:t>
      </w:r>
      <w:r w:rsidR="0066150C">
        <w:rPr>
          <w:lang w:val="es-NI"/>
        </w:rPr>
        <w:t xml:space="preserve"> y en la otra </w:t>
      </w:r>
      <w:r w:rsidRPr="00BF28CE">
        <w:rPr>
          <w:lang w:val="es-NI"/>
        </w:rPr>
        <w:t xml:space="preserve">mitad </w:t>
      </w:r>
      <w:r w:rsidR="00EF5995">
        <w:rPr>
          <w:lang w:val="es-NI"/>
        </w:rPr>
        <w:t xml:space="preserve">se </w:t>
      </w:r>
      <w:r w:rsidRPr="00BF28CE">
        <w:rPr>
          <w:lang w:val="es-NI"/>
        </w:rPr>
        <w:t>recibi</w:t>
      </w:r>
      <w:r w:rsidR="00E02109" w:rsidRPr="00BF28CE">
        <w:rPr>
          <w:lang w:val="es-NI"/>
        </w:rPr>
        <w:t>ó</w:t>
      </w:r>
      <w:r w:rsidRPr="00BF28CE">
        <w:rPr>
          <w:lang w:val="es-NI"/>
        </w:rPr>
        <w:t xml:space="preserve"> servicios </w:t>
      </w:r>
      <w:r w:rsidR="000779D4" w:rsidRPr="00BF28CE">
        <w:rPr>
          <w:lang w:val="es-NI"/>
        </w:rPr>
        <w:t xml:space="preserve">regulares </w:t>
      </w:r>
      <w:r w:rsidR="00EE4B60">
        <w:rPr>
          <w:lang w:val="es-NI"/>
        </w:rPr>
        <w:t xml:space="preserve">en materia </w:t>
      </w:r>
      <w:r w:rsidR="000779D4" w:rsidRPr="00BF28CE">
        <w:rPr>
          <w:lang w:val="es-NI"/>
        </w:rPr>
        <w:t xml:space="preserve">de métodos </w:t>
      </w:r>
      <w:r w:rsidRPr="00BF28CE">
        <w:rPr>
          <w:lang w:val="es-NI"/>
        </w:rPr>
        <w:t xml:space="preserve">anticonceptivos como parte de la iniciativa </w:t>
      </w:r>
      <w:r w:rsidR="00773C00">
        <w:rPr>
          <w:lang w:val="es-NI"/>
        </w:rPr>
        <w:t>adaptada a</w:t>
      </w:r>
      <w:r w:rsidR="00A259AF" w:rsidRPr="00BF28CE">
        <w:rPr>
          <w:lang w:val="es-NI"/>
        </w:rPr>
        <w:t xml:space="preserve"> los </w:t>
      </w:r>
      <w:r w:rsidRPr="00BF28CE">
        <w:rPr>
          <w:lang w:val="es-NI"/>
        </w:rPr>
        <w:t>jóvenes</w:t>
      </w:r>
      <w:r w:rsidR="00A259AF" w:rsidRPr="00BF28CE">
        <w:rPr>
          <w:lang w:val="es-NI"/>
        </w:rPr>
        <w:t xml:space="preserve"> del IFHP</w:t>
      </w:r>
      <w:r w:rsidRPr="00BF28CE">
        <w:rPr>
          <w:lang w:val="es-NI"/>
        </w:rPr>
        <w:t>.</w:t>
      </w:r>
    </w:p>
    <w:p w14:paraId="13477FB0" w14:textId="77777777" w:rsidR="009C0258" w:rsidRDefault="009C0258" w:rsidP="00B06BBB">
      <w:pPr>
        <w:spacing w:after="0"/>
        <w:jc w:val="both"/>
        <w:rPr>
          <w:lang w:val="es-NI"/>
        </w:rPr>
      </w:pPr>
    </w:p>
    <w:p w14:paraId="71E0115C" w14:textId="5748F099" w:rsidR="00250A2A" w:rsidRPr="00752073" w:rsidRDefault="00250A2A" w:rsidP="00250A2A">
      <w:pPr>
        <w:spacing w:after="0" w:line="240" w:lineRule="auto"/>
        <w:rPr>
          <w:lang w:val="es-NI"/>
        </w:rPr>
      </w:pPr>
      <w:r w:rsidRPr="00250A2A">
        <w:rPr>
          <w:lang w:val="es-NI"/>
        </w:rPr>
        <w:t xml:space="preserve">El modelo </w:t>
      </w:r>
      <w:r w:rsidRPr="00752073">
        <w:rPr>
          <w:lang w:val="es-NI"/>
        </w:rPr>
        <w:t xml:space="preserve">de prestación de servicios </w:t>
      </w:r>
      <w:r w:rsidR="004C1A5A" w:rsidRPr="00752073">
        <w:rPr>
          <w:lang w:val="es-NI"/>
        </w:rPr>
        <w:t>puesto</w:t>
      </w:r>
      <w:r w:rsidRPr="00752073">
        <w:rPr>
          <w:lang w:val="es-NI"/>
        </w:rPr>
        <w:t xml:space="preserve"> a prueba incluye:</w:t>
      </w:r>
    </w:p>
    <w:p w14:paraId="22B01D18" w14:textId="1096FC49" w:rsidR="00B06BBB" w:rsidRPr="00752073" w:rsidRDefault="00DF3D3B" w:rsidP="00E26148">
      <w:pPr>
        <w:pStyle w:val="ListParagraph"/>
        <w:numPr>
          <w:ilvl w:val="0"/>
          <w:numId w:val="7"/>
        </w:numPr>
        <w:spacing w:after="0" w:line="240" w:lineRule="auto"/>
        <w:rPr>
          <w:lang w:val="es-NI"/>
        </w:rPr>
      </w:pPr>
      <w:r w:rsidRPr="00752073">
        <w:rPr>
          <w:lang w:val="es-NI"/>
        </w:rPr>
        <w:t>C</w:t>
      </w:r>
      <w:r w:rsidR="00691D65" w:rsidRPr="00752073">
        <w:rPr>
          <w:lang w:val="es-NI"/>
        </w:rPr>
        <w:t xml:space="preserve">apacitación basados en </w:t>
      </w:r>
      <w:r w:rsidR="00B04874" w:rsidRPr="00752073">
        <w:rPr>
          <w:lang w:val="es-NI"/>
        </w:rPr>
        <w:t xml:space="preserve">las habilidades </w:t>
      </w:r>
      <w:r w:rsidR="000413BE" w:rsidRPr="00752073">
        <w:rPr>
          <w:lang w:val="es-NI"/>
        </w:rPr>
        <w:t>d</w:t>
      </w:r>
      <w:r w:rsidRPr="00752073">
        <w:rPr>
          <w:lang w:val="es-NI"/>
        </w:rPr>
        <w:t xml:space="preserve">el proveedor </w:t>
      </w:r>
      <w:r w:rsidR="00EA2738" w:rsidRPr="00752073">
        <w:rPr>
          <w:lang w:val="es-NI"/>
        </w:rPr>
        <w:t>sobre</w:t>
      </w:r>
      <w:r w:rsidR="00B06BBB" w:rsidRPr="00752073">
        <w:rPr>
          <w:lang w:val="es-NI"/>
        </w:rPr>
        <w:t xml:space="preserve"> implante</w:t>
      </w:r>
      <w:r w:rsidR="00EA2738" w:rsidRPr="00752073">
        <w:rPr>
          <w:lang w:val="es-NI"/>
        </w:rPr>
        <w:t>s</w:t>
      </w:r>
      <w:r w:rsidR="00B06BBB" w:rsidRPr="00752073">
        <w:rPr>
          <w:lang w:val="es-NI"/>
        </w:rPr>
        <w:t xml:space="preserve"> e inserción de DIU, </w:t>
      </w:r>
      <w:r w:rsidR="00032433" w:rsidRPr="00752073">
        <w:rPr>
          <w:lang w:val="es-NI"/>
        </w:rPr>
        <w:t xml:space="preserve">remoción </w:t>
      </w:r>
      <w:r w:rsidR="00B06BBB" w:rsidRPr="00752073">
        <w:rPr>
          <w:lang w:val="es-NI"/>
        </w:rPr>
        <w:t>y control de infecci</w:t>
      </w:r>
      <w:r w:rsidR="00032433" w:rsidRPr="00752073">
        <w:rPr>
          <w:lang w:val="es-NI"/>
        </w:rPr>
        <w:t>ones</w:t>
      </w:r>
      <w:r w:rsidR="00B06BBB" w:rsidRPr="00752073">
        <w:rPr>
          <w:lang w:val="es-NI"/>
        </w:rPr>
        <w:t>.</w:t>
      </w:r>
    </w:p>
    <w:p w14:paraId="51A0F796" w14:textId="3A7BF995" w:rsidR="00B06BBB" w:rsidRDefault="008D0B24" w:rsidP="00B06BBB">
      <w:pPr>
        <w:pStyle w:val="ListParagraph"/>
        <w:numPr>
          <w:ilvl w:val="0"/>
          <w:numId w:val="7"/>
        </w:numPr>
        <w:spacing w:after="0" w:line="240" w:lineRule="auto"/>
        <w:rPr>
          <w:lang w:val="es-NI"/>
        </w:rPr>
      </w:pPr>
      <w:r>
        <w:rPr>
          <w:lang w:val="es-NI"/>
        </w:rPr>
        <w:t>Realizar c</w:t>
      </w:r>
      <w:r w:rsidR="006C75F1">
        <w:rPr>
          <w:lang w:val="es-NI"/>
        </w:rPr>
        <w:t>apacitación</w:t>
      </w:r>
      <w:r w:rsidR="00B06BBB" w:rsidRPr="00B06BBB">
        <w:rPr>
          <w:lang w:val="es-NI"/>
        </w:rPr>
        <w:t xml:space="preserve"> de </w:t>
      </w:r>
      <w:r w:rsidR="006C75F1">
        <w:rPr>
          <w:lang w:val="es-NI"/>
        </w:rPr>
        <w:t>refrescamiento</w:t>
      </w:r>
      <w:r w:rsidR="00B06BBB" w:rsidRPr="00B06BBB">
        <w:rPr>
          <w:lang w:val="es-NI"/>
        </w:rPr>
        <w:t xml:space="preserve"> para </w:t>
      </w:r>
      <w:r w:rsidR="008F463A">
        <w:rPr>
          <w:lang w:val="es-NI"/>
        </w:rPr>
        <w:t xml:space="preserve">los </w:t>
      </w:r>
      <w:r w:rsidR="00E500AF">
        <w:rPr>
          <w:lang w:val="es-NI"/>
        </w:rPr>
        <w:t xml:space="preserve">colegas </w:t>
      </w:r>
      <w:r w:rsidR="00B06BBB" w:rsidRPr="00B06BBB">
        <w:rPr>
          <w:lang w:val="es-NI"/>
        </w:rPr>
        <w:t>educadores</w:t>
      </w:r>
      <w:r w:rsidR="008F463A">
        <w:rPr>
          <w:lang w:val="es-NI"/>
        </w:rPr>
        <w:t xml:space="preserve"> </w:t>
      </w:r>
      <w:r w:rsidR="004400F8">
        <w:rPr>
          <w:lang w:val="es-NI"/>
        </w:rPr>
        <w:t xml:space="preserve">para </w:t>
      </w:r>
      <w:r w:rsidR="008F463A">
        <w:rPr>
          <w:lang w:val="es-NI"/>
        </w:rPr>
        <w:t>brinda</w:t>
      </w:r>
      <w:r w:rsidR="004400F8">
        <w:rPr>
          <w:lang w:val="es-NI"/>
        </w:rPr>
        <w:t>r</w:t>
      </w:r>
      <w:r w:rsidR="00B06BBB" w:rsidRPr="00B06BBB">
        <w:rPr>
          <w:lang w:val="es-NI"/>
        </w:rPr>
        <w:t xml:space="preserve"> asesoría sobre </w:t>
      </w:r>
      <w:r w:rsidR="00B63F95">
        <w:rPr>
          <w:lang w:val="es-NI"/>
        </w:rPr>
        <w:t xml:space="preserve">la </w:t>
      </w:r>
      <w:r w:rsidR="00B06BBB" w:rsidRPr="00B06BBB">
        <w:rPr>
          <w:lang w:val="es-NI"/>
        </w:rPr>
        <w:t xml:space="preserve">seguridad y eficacia de </w:t>
      </w:r>
      <w:r w:rsidR="00B63F95">
        <w:rPr>
          <w:lang w:val="es-NI"/>
        </w:rPr>
        <w:t>los LARC</w:t>
      </w:r>
      <w:r w:rsidR="00B06BBB" w:rsidRPr="00B06BBB">
        <w:rPr>
          <w:lang w:val="es-NI"/>
        </w:rPr>
        <w:t xml:space="preserve">, </w:t>
      </w:r>
      <w:r w:rsidR="00BD136E">
        <w:rPr>
          <w:lang w:val="es-NI"/>
        </w:rPr>
        <w:t>erradicar los</w:t>
      </w:r>
      <w:r w:rsidR="00B06BBB" w:rsidRPr="00B06BBB">
        <w:rPr>
          <w:lang w:val="es-NI"/>
        </w:rPr>
        <w:t xml:space="preserve"> mitos y percepciones erróneas y referir a </w:t>
      </w:r>
      <w:r w:rsidR="004353EF">
        <w:rPr>
          <w:lang w:val="es-NI"/>
        </w:rPr>
        <w:t>los jóvenes a centros de atención</w:t>
      </w:r>
      <w:r w:rsidR="00B06BBB" w:rsidRPr="00B06BBB">
        <w:rPr>
          <w:lang w:val="es-NI"/>
        </w:rPr>
        <w:t>.</w:t>
      </w:r>
    </w:p>
    <w:p w14:paraId="6BF323BF" w14:textId="770673FE" w:rsidR="00B06BBB" w:rsidRDefault="002A4D4F" w:rsidP="00043A14">
      <w:pPr>
        <w:pStyle w:val="ListParagraph"/>
        <w:numPr>
          <w:ilvl w:val="0"/>
          <w:numId w:val="7"/>
        </w:numPr>
        <w:spacing w:after="0" w:line="240" w:lineRule="auto"/>
        <w:rPr>
          <w:lang w:val="es-NI"/>
        </w:rPr>
      </w:pPr>
      <w:r>
        <w:rPr>
          <w:lang w:val="es-NI"/>
        </w:rPr>
        <w:t>Realizar s</w:t>
      </w:r>
      <w:r w:rsidR="00B06BBB" w:rsidRPr="00CD089F">
        <w:rPr>
          <w:lang w:val="es-NI"/>
        </w:rPr>
        <w:t xml:space="preserve">upervisión de apoyo </w:t>
      </w:r>
      <w:r w:rsidR="00305D58">
        <w:rPr>
          <w:lang w:val="es-NI"/>
        </w:rPr>
        <w:t>a</w:t>
      </w:r>
      <w:r w:rsidR="00B06BBB" w:rsidRPr="00CD089F">
        <w:rPr>
          <w:lang w:val="es-NI"/>
        </w:rPr>
        <w:t xml:space="preserve"> los proveedores.</w:t>
      </w:r>
    </w:p>
    <w:p w14:paraId="4D9CBF46" w14:textId="0E6AC146" w:rsidR="00305D58" w:rsidRDefault="00305D58" w:rsidP="00305D58">
      <w:pPr>
        <w:spacing w:after="0" w:line="240" w:lineRule="auto"/>
        <w:rPr>
          <w:lang w:val="es-NI"/>
        </w:rPr>
      </w:pPr>
    </w:p>
    <w:p w14:paraId="30855267" w14:textId="05B70733" w:rsidR="00305D58" w:rsidRDefault="00305D58" w:rsidP="00305D58">
      <w:pPr>
        <w:spacing w:after="0" w:line="240" w:lineRule="auto"/>
        <w:rPr>
          <w:lang w:val="es-NI"/>
        </w:rPr>
      </w:pPr>
    </w:p>
    <w:p w14:paraId="599BD178" w14:textId="49BFCD4C" w:rsidR="00305D58" w:rsidRDefault="00305D58" w:rsidP="00305D58">
      <w:pPr>
        <w:spacing w:after="0" w:line="240" w:lineRule="auto"/>
        <w:rPr>
          <w:lang w:val="es-NI"/>
        </w:rPr>
      </w:pPr>
    </w:p>
    <w:p w14:paraId="5E33BB3E" w14:textId="01A3232D" w:rsidR="00305D58" w:rsidRDefault="00305D58" w:rsidP="00305D58">
      <w:pPr>
        <w:spacing w:after="0" w:line="240" w:lineRule="auto"/>
        <w:rPr>
          <w:lang w:val="es-NI"/>
        </w:rPr>
      </w:pPr>
    </w:p>
    <w:p w14:paraId="6A892D2B" w14:textId="77777777" w:rsidR="00305D58" w:rsidRPr="00305D58" w:rsidRDefault="00305D58" w:rsidP="00305D58">
      <w:pPr>
        <w:spacing w:after="0" w:line="240" w:lineRule="auto"/>
        <w:rPr>
          <w:lang w:val="es-NI"/>
        </w:rPr>
      </w:pPr>
    </w:p>
    <w:p w14:paraId="74123BB9" w14:textId="18DCFF07" w:rsidR="00CD089F" w:rsidRDefault="00CD089F" w:rsidP="00CD089F">
      <w:pPr>
        <w:spacing w:after="0" w:line="240" w:lineRule="auto"/>
        <w:rPr>
          <w:lang w:val="es-NI"/>
        </w:rPr>
      </w:pPr>
    </w:p>
    <w:p w14:paraId="093B19C7" w14:textId="46F48D28" w:rsidR="00C40C57" w:rsidRDefault="00B06BBB" w:rsidP="00C40C57">
      <w:pPr>
        <w:spacing w:after="0" w:line="240" w:lineRule="auto"/>
        <w:jc w:val="center"/>
        <w:rPr>
          <w:b/>
          <w:lang w:val="es-NI"/>
        </w:rPr>
      </w:pPr>
      <w:r w:rsidRPr="00B06BBB">
        <w:rPr>
          <w:b/>
          <w:lang w:val="es-NI"/>
        </w:rPr>
        <w:lastRenderedPageBreak/>
        <w:t xml:space="preserve">Tabla 1: Distribución porcentual de los </w:t>
      </w:r>
      <w:r w:rsidR="00555B8E">
        <w:rPr>
          <w:b/>
          <w:lang w:val="es-NI"/>
        </w:rPr>
        <w:t>usuarios</w:t>
      </w:r>
      <w:r w:rsidRPr="00B06BBB">
        <w:rPr>
          <w:b/>
          <w:lang w:val="es-NI"/>
        </w:rPr>
        <w:t xml:space="preserve"> de planificación familiar por características demográficas y tipo de sitio (</w:t>
      </w:r>
      <w:r w:rsidR="007409C3">
        <w:rPr>
          <w:b/>
          <w:lang w:val="es-NI"/>
        </w:rPr>
        <w:t xml:space="preserve">con </w:t>
      </w:r>
      <w:r w:rsidRPr="00B06BBB">
        <w:rPr>
          <w:b/>
          <w:lang w:val="es-NI"/>
        </w:rPr>
        <w:t xml:space="preserve">intervención y </w:t>
      </w:r>
      <w:r w:rsidR="000009BD">
        <w:rPr>
          <w:b/>
          <w:lang w:val="es-NI"/>
        </w:rPr>
        <w:t>sin</w:t>
      </w:r>
      <w:r w:rsidRPr="00B06BBB">
        <w:rPr>
          <w:b/>
          <w:lang w:val="es-NI"/>
        </w:rPr>
        <w:t xml:space="preserve"> intervención) (junio de 2014 – de 2015 de abril)</w:t>
      </w:r>
    </w:p>
    <w:p w14:paraId="2F655A99" w14:textId="77777777" w:rsidR="00B06BBB" w:rsidRPr="00B06BBB" w:rsidRDefault="00B06BBB" w:rsidP="00C40C57">
      <w:pPr>
        <w:spacing w:after="0" w:line="240" w:lineRule="auto"/>
        <w:jc w:val="center"/>
        <w:rPr>
          <w:b/>
          <w:lang w:val="es-NI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4"/>
        <w:gridCol w:w="2044"/>
        <w:gridCol w:w="2161"/>
        <w:gridCol w:w="2161"/>
      </w:tblGrid>
      <w:tr w:rsidR="00C40C57" w14:paraId="11499D78" w14:textId="77777777" w:rsidTr="00043A14">
        <w:tc>
          <w:tcPr>
            <w:tcW w:w="2984" w:type="dxa"/>
            <w:shd w:val="clear" w:color="auto" w:fill="7030A0"/>
          </w:tcPr>
          <w:p w14:paraId="3B58A2B6" w14:textId="05889CD1" w:rsidR="00C40C57" w:rsidRPr="00BC5666" w:rsidRDefault="00B06BBB" w:rsidP="00B06BBB">
            <w:pPr>
              <w:rPr>
                <w:color w:val="FFFFFF" w:themeColor="background1"/>
                <w:lang w:val="es-NI"/>
              </w:rPr>
            </w:pPr>
            <w:r w:rsidRPr="00BC5666">
              <w:rPr>
                <w:color w:val="FFFFFF" w:themeColor="background1"/>
                <w:lang w:val="es-NI"/>
              </w:rPr>
              <w:t>Características demográficas</w:t>
            </w:r>
          </w:p>
        </w:tc>
        <w:tc>
          <w:tcPr>
            <w:tcW w:w="2044" w:type="dxa"/>
            <w:shd w:val="clear" w:color="auto" w:fill="7030A0"/>
          </w:tcPr>
          <w:p w14:paraId="5266FB87" w14:textId="77777777" w:rsidR="00C40C57" w:rsidRPr="00BC5666" w:rsidRDefault="00C40C57" w:rsidP="00B06BBB">
            <w:pPr>
              <w:rPr>
                <w:color w:val="FFFFFF" w:themeColor="background1"/>
                <w:lang w:val="es-NI"/>
              </w:rPr>
            </w:pPr>
            <w:r w:rsidRPr="00BC5666">
              <w:rPr>
                <w:color w:val="FFFFFF" w:themeColor="background1"/>
                <w:lang w:val="es-NI"/>
              </w:rPr>
              <w:t>Total %</w:t>
            </w:r>
          </w:p>
        </w:tc>
        <w:tc>
          <w:tcPr>
            <w:tcW w:w="2161" w:type="dxa"/>
            <w:shd w:val="clear" w:color="auto" w:fill="7030A0"/>
          </w:tcPr>
          <w:p w14:paraId="53CC5AF6" w14:textId="646E3118" w:rsidR="00C40C57" w:rsidRPr="00BC5666" w:rsidRDefault="00372EA2" w:rsidP="00B06BBB">
            <w:pPr>
              <w:rPr>
                <w:color w:val="FFFFFF" w:themeColor="background1"/>
                <w:lang w:val="es-NI"/>
              </w:rPr>
            </w:pPr>
            <w:r w:rsidRPr="00BC5666">
              <w:rPr>
                <w:color w:val="FFFFFF" w:themeColor="background1"/>
                <w:lang w:val="es-NI"/>
              </w:rPr>
              <w:t xml:space="preserve">Con </w:t>
            </w:r>
            <w:r w:rsidR="00C40C57" w:rsidRPr="00BC5666">
              <w:rPr>
                <w:color w:val="FFFFFF" w:themeColor="background1"/>
                <w:lang w:val="es-NI"/>
              </w:rPr>
              <w:t>Intervention %</w:t>
            </w:r>
          </w:p>
        </w:tc>
        <w:tc>
          <w:tcPr>
            <w:tcW w:w="2161" w:type="dxa"/>
            <w:shd w:val="clear" w:color="auto" w:fill="7030A0"/>
          </w:tcPr>
          <w:p w14:paraId="61CA5EF0" w14:textId="5C8B80AC" w:rsidR="00C40C57" w:rsidRPr="00BC5666" w:rsidRDefault="000009BD" w:rsidP="00B06BBB">
            <w:pPr>
              <w:rPr>
                <w:color w:val="FFFFFF" w:themeColor="background1"/>
                <w:lang w:val="es-NI"/>
              </w:rPr>
            </w:pPr>
            <w:r w:rsidRPr="00BC5666">
              <w:rPr>
                <w:color w:val="FFFFFF" w:themeColor="background1"/>
                <w:lang w:val="es-NI"/>
              </w:rPr>
              <w:t>Sin</w:t>
            </w:r>
            <w:r w:rsidR="00C40C57" w:rsidRPr="00BC5666">
              <w:rPr>
                <w:color w:val="FFFFFF" w:themeColor="background1"/>
                <w:lang w:val="es-NI"/>
              </w:rPr>
              <w:t>-Intervention %</w:t>
            </w:r>
          </w:p>
          <w:p w14:paraId="2BA919A5" w14:textId="77777777" w:rsidR="00C40C57" w:rsidRPr="00BC5666" w:rsidRDefault="00C40C57" w:rsidP="00B06BBB">
            <w:pPr>
              <w:rPr>
                <w:color w:val="FFFFFF" w:themeColor="background1"/>
                <w:lang w:val="es-NI"/>
              </w:rPr>
            </w:pPr>
          </w:p>
        </w:tc>
      </w:tr>
      <w:tr w:rsidR="00C40C57" w:rsidRPr="00BC5666" w14:paraId="13F5446B" w14:textId="77777777" w:rsidTr="00043A14">
        <w:tc>
          <w:tcPr>
            <w:tcW w:w="9350" w:type="dxa"/>
            <w:gridSpan w:val="4"/>
          </w:tcPr>
          <w:p w14:paraId="502AC5DB" w14:textId="4B263716" w:rsidR="00C40C57" w:rsidRPr="00BC5666" w:rsidRDefault="000009BD" w:rsidP="00043A14">
            <w:pPr>
              <w:rPr>
                <w:lang w:val="es-NI"/>
              </w:rPr>
            </w:pPr>
            <w:r w:rsidRPr="00BC5666">
              <w:rPr>
                <w:b/>
                <w:lang w:val="es-NI"/>
              </w:rPr>
              <w:t>USUARIOS DE PLANIFICACION FAMILIAR</w:t>
            </w:r>
            <w:r w:rsidR="00C40C57" w:rsidRPr="00BC5666">
              <w:rPr>
                <w:b/>
                <w:lang w:val="es-NI"/>
              </w:rPr>
              <w:t xml:space="preserve"> </w:t>
            </w:r>
            <w:r w:rsidR="00C40C57" w:rsidRPr="00BC5666">
              <w:rPr>
                <w:b/>
                <w:lang w:val="es-NI"/>
              </w:rPr>
              <w:softHyphen/>
            </w:r>
            <w:r w:rsidR="00C40C57" w:rsidRPr="00BC5666">
              <w:rPr>
                <w:lang w:val="es-NI"/>
              </w:rPr>
              <w:t xml:space="preserve">– </w:t>
            </w:r>
            <w:r w:rsidRPr="00BC5666">
              <w:rPr>
                <w:lang w:val="es-NI"/>
              </w:rPr>
              <w:t>Todos los usuarios</w:t>
            </w:r>
          </w:p>
        </w:tc>
      </w:tr>
      <w:tr w:rsidR="00C40C57" w14:paraId="25D1BE6D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434E78E4" w14:textId="34853DF1" w:rsidR="00C40C57" w:rsidRPr="00BC5666" w:rsidRDefault="00B06BBB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Edad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34808943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14,857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421E9F4A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9,551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2BD1AC75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5,306</w:t>
            </w:r>
          </w:p>
        </w:tc>
      </w:tr>
      <w:tr w:rsidR="00C40C57" w14:paraId="6BDA805E" w14:textId="77777777" w:rsidTr="00043A14">
        <w:tc>
          <w:tcPr>
            <w:tcW w:w="2984" w:type="dxa"/>
          </w:tcPr>
          <w:p w14:paraId="7A831EBB" w14:textId="573FA6DE" w:rsidR="00C40C57" w:rsidRPr="00BC5666" w:rsidRDefault="00B06BBB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 xml:space="preserve">   &lt;15 años</w:t>
            </w:r>
          </w:p>
        </w:tc>
        <w:tc>
          <w:tcPr>
            <w:tcW w:w="2044" w:type="dxa"/>
          </w:tcPr>
          <w:p w14:paraId="133EE28C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0.2</w:t>
            </w:r>
          </w:p>
        </w:tc>
        <w:tc>
          <w:tcPr>
            <w:tcW w:w="2161" w:type="dxa"/>
          </w:tcPr>
          <w:p w14:paraId="6E85DD0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0.1</w:t>
            </w:r>
          </w:p>
        </w:tc>
        <w:tc>
          <w:tcPr>
            <w:tcW w:w="2161" w:type="dxa"/>
          </w:tcPr>
          <w:p w14:paraId="207CB939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0.3</w:t>
            </w:r>
          </w:p>
        </w:tc>
      </w:tr>
      <w:tr w:rsidR="00C40C57" w14:paraId="290D7B33" w14:textId="77777777" w:rsidTr="00043A14">
        <w:tc>
          <w:tcPr>
            <w:tcW w:w="2984" w:type="dxa"/>
          </w:tcPr>
          <w:p w14:paraId="387B8CFC" w14:textId="77777777" w:rsidR="00C40C57" w:rsidRPr="00BC5666" w:rsidRDefault="00C40C57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 xml:space="preserve">   15 – 19</w:t>
            </w:r>
          </w:p>
        </w:tc>
        <w:tc>
          <w:tcPr>
            <w:tcW w:w="2044" w:type="dxa"/>
          </w:tcPr>
          <w:p w14:paraId="76DC7CAE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40.2</w:t>
            </w:r>
          </w:p>
        </w:tc>
        <w:tc>
          <w:tcPr>
            <w:tcW w:w="2161" w:type="dxa"/>
          </w:tcPr>
          <w:p w14:paraId="03A816F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39.5</w:t>
            </w:r>
          </w:p>
        </w:tc>
        <w:tc>
          <w:tcPr>
            <w:tcW w:w="2161" w:type="dxa"/>
          </w:tcPr>
          <w:p w14:paraId="628525F1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41.5</w:t>
            </w:r>
          </w:p>
        </w:tc>
      </w:tr>
      <w:tr w:rsidR="00C40C57" w14:paraId="0BAD82F9" w14:textId="77777777" w:rsidTr="00043A14">
        <w:tc>
          <w:tcPr>
            <w:tcW w:w="2984" w:type="dxa"/>
          </w:tcPr>
          <w:p w14:paraId="053C158B" w14:textId="77777777" w:rsidR="00C40C57" w:rsidRPr="00BC5666" w:rsidRDefault="00C40C57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 xml:space="preserve">   20 – 24</w:t>
            </w:r>
          </w:p>
        </w:tc>
        <w:tc>
          <w:tcPr>
            <w:tcW w:w="2044" w:type="dxa"/>
          </w:tcPr>
          <w:p w14:paraId="6D1329F2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59.6</w:t>
            </w:r>
          </w:p>
        </w:tc>
        <w:tc>
          <w:tcPr>
            <w:tcW w:w="2161" w:type="dxa"/>
          </w:tcPr>
          <w:p w14:paraId="133D087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60.4</w:t>
            </w:r>
          </w:p>
        </w:tc>
        <w:tc>
          <w:tcPr>
            <w:tcW w:w="2161" w:type="dxa"/>
          </w:tcPr>
          <w:p w14:paraId="2779EE08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58.2</w:t>
            </w:r>
          </w:p>
        </w:tc>
      </w:tr>
      <w:tr w:rsidR="00C40C57" w14:paraId="4F070C8C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1A864AAC" w14:textId="30EDF2CB" w:rsidR="00C40C57" w:rsidRPr="00BC5666" w:rsidRDefault="00B06BBB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Estado civil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2CEB7583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14,012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6007F1F0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8,883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2BD96BBD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5,099</w:t>
            </w:r>
          </w:p>
        </w:tc>
      </w:tr>
      <w:tr w:rsidR="00C40C57" w14:paraId="79EB4331" w14:textId="77777777" w:rsidTr="00043A14">
        <w:tc>
          <w:tcPr>
            <w:tcW w:w="2984" w:type="dxa"/>
          </w:tcPr>
          <w:p w14:paraId="5C793D5C" w14:textId="50E96D75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 xml:space="preserve">Casado </w:t>
            </w:r>
            <w:r w:rsidR="00C40C57" w:rsidRPr="00BC5666">
              <w:rPr>
                <w:b/>
                <w:lang w:val="es-NI"/>
              </w:rPr>
              <w:tab/>
            </w:r>
          </w:p>
        </w:tc>
        <w:tc>
          <w:tcPr>
            <w:tcW w:w="2044" w:type="dxa"/>
          </w:tcPr>
          <w:p w14:paraId="3233DED8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76.9</w:t>
            </w:r>
          </w:p>
        </w:tc>
        <w:tc>
          <w:tcPr>
            <w:tcW w:w="2161" w:type="dxa"/>
          </w:tcPr>
          <w:p w14:paraId="0AF8D7F1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76.3</w:t>
            </w:r>
          </w:p>
        </w:tc>
        <w:tc>
          <w:tcPr>
            <w:tcW w:w="2161" w:type="dxa"/>
          </w:tcPr>
          <w:p w14:paraId="0780F95E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78.0</w:t>
            </w:r>
          </w:p>
        </w:tc>
      </w:tr>
      <w:tr w:rsidR="00C40C57" w14:paraId="728CB09F" w14:textId="77777777" w:rsidTr="00043A14">
        <w:tc>
          <w:tcPr>
            <w:tcW w:w="2984" w:type="dxa"/>
          </w:tcPr>
          <w:p w14:paraId="517DA9E8" w14:textId="46E9B78F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Unión libre</w:t>
            </w:r>
          </w:p>
        </w:tc>
        <w:tc>
          <w:tcPr>
            <w:tcW w:w="2044" w:type="dxa"/>
          </w:tcPr>
          <w:p w14:paraId="5CEC13E7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7.8</w:t>
            </w:r>
          </w:p>
        </w:tc>
        <w:tc>
          <w:tcPr>
            <w:tcW w:w="2161" w:type="dxa"/>
          </w:tcPr>
          <w:p w14:paraId="67C470F6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7.2</w:t>
            </w:r>
          </w:p>
        </w:tc>
        <w:tc>
          <w:tcPr>
            <w:tcW w:w="2161" w:type="dxa"/>
          </w:tcPr>
          <w:p w14:paraId="762E8AB8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9.0</w:t>
            </w:r>
          </w:p>
        </w:tc>
      </w:tr>
      <w:tr w:rsidR="00C40C57" w14:paraId="2C7745D7" w14:textId="77777777" w:rsidTr="00043A14">
        <w:tc>
          <w:tcPr>
            <w:tcW w:w="2984" w:type="dxa"/>
          </w:tcPr>
          <w:p w14:paraId="1A60C6AA" w14:textId="53F2C23F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Soltero</w:t>
            </w:r>
          </w:p>
        </w:tc>
        <w:tc>
          <w:tcPr>
            <w:tcW w:w="2044" w:type="dxa"/>
          </w:tcPr>
          <w:p w14:paraId="0DB227D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14.8</w:t>
            </w:r>
          </w:p>
        </w:tc>
        <w:tc>
          <w:tcPr>
            <w:tcW w:w="2161" w:type="dxa"/>
          </w:tcPr>
          <w:p w14:paraId="06AE88BF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16.2</w:t>
            </w:r>
          </w:p>
        </w:tc>
        <w:tc>
          <w:tcPr>
            <w:tcW w:w="2161" w:type="dxa"/>
          </w:tcPr>
          <w:p w14:paraId="70C0B89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12.4</w:t>
            </w:r>
          </w:p>
        </w:tc>
      </w:tr>
      <w:tr w:rsidR="00C40C57" w14:paraId="6768271F" w14:textId="77777777" w:rsidTr="00043A14">
        <w:tc>
          <w:tcPr>
            <w:tcW w:w="2984" w:type="dxa"/>
          </w:tcPr>
          <w:p w14:paraId="76BF04AC" w14:textId="6BD7BDF7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Divorciado/separado/viudo</w:t>
            </w:r>
          </w:p>
        </w:tc>
        <w:tc>
          <w:tcPr>
            <w:tcW w:w="2044" w:type="dxa"/>
          </w:tcPr>
          <w:p w14:paraId="192323D6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0.4</w:t>
            </w:r>
          </w:p>
        </w:tc>
        <w:tc>
          <w:tcPr>
            <w:tcW w:w="2161" w:type="dxa"/>
          </w:tcPr>
          <w:p w14:paraId="74228B3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0.3</w:t>
            </w:r>
          </w:p>
        </w:tc>
        <w:tc>
          <w:tcPr>
            <w:tcW w:w="2161" w:type="dxa"/>
          </w:tcPr>
          <w:p w14:paraId="6C432826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0.5</w:t>
            </w:r>
          </w:p>
        </w:tc>
      </w:tr>
      <w:tr w:rsidR="00C40C57" w14:paraId="54C61BCD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21B1D111" w14:textId="3724B75C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Paridad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3DAE35DE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13,998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5F55646E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8,916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69FAC78B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5,082</w:t>
            </w:r>
          </w:p>
        </w:tc>
      </w:tr>
      <w:tr w:rsidR="00C40C57" w14:paraId="21F32A96" w14:textId="77777777" w:rsidTr="00043A14">
        <w:tc>
          <w:tcPr>
            <w:tcW w:w="2984" w:type="dxa"/>
          </w:tcPr>
          <w:p w14:paraId="4F256E6C" w14:textId="7A232790" w:rsidR="00C40C57" w:rsidRPr="00BC5666" w:rsidRDefault="00C40C57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Nul</w:t>
            </w:r>
            <w:r w:rsidR="00B758E6" w:rsidRPr="00BC5666">
              <w:rPr>
                <w:b/>
                <w:lang w:val="es-NI"/>
              </w:rPr>
              <w:t>í</w:t>
            </w:r>
            <w:r w:rsidR="00AF1673" w:rsidRPr="00BC5666">
              <w:rPr>
                <w:b/>
                <w:lang w:val="es-NI"/>
              </w:rPr>
              <w:t>paras</w:t>
            </w:r>
          </w:p>
        </w:tc>
        <w:tc>
          <w:tcPr>
            <w:tcW w:w="2044" w:type="dxa"/>
          </w:tcPr>
          <w:p w14:paraId="6A0A151A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63.1</w:t>
            </w:r>
          </w:p>
        </w:tc>
        <w:tc>
          <w:tcPr>
            <w:tcW w:w="2161" w:type="dxa"/>
          </w:tcPr>
          <w:p w14:paraId="1FD8678E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65.1</w:t>
            </w:r>
          </w:p>
        </w:tc>
        <w:tc>
          <w:tcPr>
            <w:tcW w:w="2161" w:type="dxa"/>
          </w:tcPr>
          <w:p w14:paraId="4C0975A5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59.4</w:t>
            </w:r>
          </w:p>
        </w:tc>
      </w:tr>
      <w:tr w:rsidR="00C40C57" w14:paraId="02D71FF0" w14:textId="77777777" w:rsidTr="00043A14">
        <w:tc>
          <w:tcPr>
            <w:tcW w:w="2984" w:type="dxa"/>
          </w:tcPr>
          <w:p w14:paraId="08B588B3" w14:textId="403CF7CA" w:rsidR="00C40C57" w:rsidRPr="00BC5666" w:rsidRDefault="00AF1673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Uno</w:t>
            </w:r>
          </w:p>
        </w:tc>
        <w:tc>
          <w:tcPr>
            <w:tcW w:w="2044" w:type="dxa"/>
          </w:tcPr>
          <w:p w14:paraId="3749E417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29.3</w:t>
            </w:r>
          </w:p>
        </w:tc>
        <w:tc>
          <w:tcPr>
            <w:tcW w:w="2161" w:type="dxa"/>
          </w:tcPr>
          <w:p w14:paraId="28C00E83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27.4</w:t>
            </w:r>
          </w:p>
        </w:tc>
        <w:tc>
          <w:tcPr>
            <w:tcW w:w="2161" w:type="dxa"/>
          </w:tcPr>
          <w:p w14:paraId="6AF98E5B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32.6</w:t>
            </w:r>
          </w:p>
        </w:tc>
      </w:tr>
      <w:tr w:rsidR="00C40C57" w14:paraId="2940A989" w14:textId="77777777" w:rsidTr="00043A14">
        <w:tc>
          <w:tcPr>
            <w:tcW w:w="2984" w:type="dxa"/>
          </w:tcPr>
          <w:p w14:paraId="11F0FCCD" w14:textId="6575C5B1" w:rsidR="00C40C57" w:rsidRPr="00BC5666" w:rsidRDefault="00AF1673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Dos o más</w:t>
            </w:r>
          </w:p>
        </w:tc>
        <w:tc>
          <w:tcPr>
            <w:tcW w:w="2044" w:type="dxa"/>
          </w:tcPr>
          <w:p w14:paraId="651F0A4E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7.6</w:t>
            </w:r>
          </w:p>
        </w:tc>
        <w:tc>
          <w:tcPr>
            <w:tcW w:w="2161" w:type="dxa"/>
          </w:tcPr>
          <w:p w14:paraId="72DB4E44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7.4</w:t>
            </w:r>
          </w:p>
        </w:tc>
        <w:tc>
          <w:tcPr>
            <w:tcW w:w="2161" w:type="dxa"/>
          </w:tcPr>
          <w:p w14:paraId="6256712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8.0</w:t>
            </w:r>
          </w:p>
        </w:tc>
      </w:tr>
      <w:tr w:rsidR="00C40C57" w:rsidRPr="000009BD" w14:paraId="1E4EAD39" w14:textId="77777777" w:rsidTr="00043A14">
        <w:tc>
          <w:tcPr>
            <w:tcW w:w="9350" w:type="dxa"/>
            <w:gridSpan w:val="4"/>
          </w:tcPr>
          <w:p w14:paraId="30B4AC9C" w14:textId="28E63AEA" w:rsidR="00C40C57" w:rsidRPr="00BC5666" w:rsidRDefault="000009BD" w:rsidP="00043A14">
            <w:pPr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 xml:space="preserve">USUARIOS DE PLANIFICACION </w:t>
            </w:r>
            <w:r w:rsidR="00C40C57" w:rsidRPr="00BC5666">
              <w:rPr>
                <w:b/>
                <w:lang w:val="es-NI"/>
              </w:rPr>
              <w:t>FAMIL</w:t>
            </w:r>
            <w:r w:rsidRPr="00BC5666">
              <w:rPr>
                <w:b/>
                <w:lang w:val="es-NI"/>
              </w:rPr>
              <w:t>IAR</w:t>
            </w:r>
          </w:p>
        </w:tc>
      </w:tr>
      <w:tr w:rsidR="00C40C57" w14:paraId="78C4B7E1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4B58214C" w14:textId="55A848D4" w:rsidR="00C40C57" w:rsidRPr="00BC5666" w:rsidRDefault="00B06BBB" w:rsidP="00043A14">
            <w:pPr>
              <w:tabs>
                <w:tab w:val="left" w:pos="1185"/>
              </w:tabs>
              <w:rPr>
                <w:lang w:val="es-NI"/>
              </w:rPr>
            </w:pPr>
            <w:r w:rsidRPr="00BC5666">
              <w:rPr>
                <w:b/>
                <w:lang w:val="es-NI"/>
              </w:rPr>
              <w:t>Edad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0F02464A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5,483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654F4B04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3,599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2DFDB2E5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1,884</w:t>
            </w:r>
          </w:p>
        </w:tc>
      </w:tr>
      <w:tr w:rsidR="00C40C57" w14:paraId="0B5FBEA0" w14:textId="77777777" w:rsidTr="00043A14">
        <w:tc>
          <w:tcPr>
            <w:tcW w:w="2984" w:type="dxa"/>
          </w:tcPr>
          <w:p w14:paraId="2DCF37E3" w14:textId="5D482887" w:rsidR="00C40C57" w:rsidRPr="00BC5666" w:rsidRDefault="00B06BBB" w:rsidP="00043A14">
            <w:pPr>
              <w:tabs>
                <w:tab w:val="left" w:pos="1185"/>
              </w:tabs>
              <w:rPr>
                <w:lang w:val="es-NI"/>
              </w:rPr>
            </w:pPr>
            <w:r w:rsidRPr="00BC5666">
              <w:rPr>
                <w:b/>
                <w:lang w:val="es-NI"/>
              </w:rPr>
              <w:t xml:space="preserve">   &lt;15 años</w:t>
            </w:r>
          </w:p>
        </w:tc>
        <w:tc>
          <w:tcPr>
            <w:tcW w:w="2044" w:type="dxa"/>
          </w:tcPr>
          <w:p w14:paraId="019FD0C4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0.3</w:t>
            </w:r>
          </w:p>
        </w:tc>
        <w:tc>
          <w:tcPr>
            <w:tcW w:w="2161" w:type="dxa"/>
          </w:tcPr>
          <w:p w14:paraId="6B18A5C0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0.2</w:t>
            </w:r>
          </w:p>
        </w:tc>
        <w:tc>
          <w:tcPr>
            <w:tcW w:w="2161" w:type="dxa"/>
          </w:tcPr>
          <w:p w14:paraId="2B9B9995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0.5</w:t>
            </w:r>
          </w:p>
        </w:tc>
      </w:tr>
      <w:tr w:rsidR="00C40C57" w14:paraId="3BDCD611" w14:textId="77777777" w:rsidTr="00043A14">
        <w:tc>
          <w:tcPr>
            <w:tcW w:w="2984" w:type="dxa"/>
          </w:tcPr>
          <w:p w14:paraId="7320BD44" w14:textId="77777777" w:rsidR="00C40C57" w:rsidRPr="00BC5666" w:rsidRDefault="00C40C57" w:rsidP="00043A14">
            <w:pPr>
              <w:tabs>
                <w:tab w:val="left" w:pos="1185"/>
              </w:tabs>
              <w:rPr>
                <w:lang w:val="es-NI"/>
              </w:rPr>
            </w:pPr>
            <w:r w:rsidRPr="00BC5666">
              <w:rPr>
                <w:b/>
                <w:lang w:val="es-NI"/>
              </w:rPr>
              <w:t xml:space="preserve">   15 – 19</w:t>
            </w:r>
          </w:p>
        </w:tc>
        <w:tc>
          <w:tcPr>
            <w:tcW w:w="2044" w:type="dxa"/>
          </w:tcPr>
          <w:p w14:paraId="4A09BBEF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50.3</w:t>
            </w:r>
          </w:p>
        </w:tc>
        <w:tc>
          <w:tcPr>
            <w:tcW w:w="2161" w:type="dxa"/>
          </w:tcPr>
          <w:p w14:paraId="727B9EC1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48.5</w:t>
            </w:r>
          </w:p>
        </w:tc>
        <w:tc>
          <w:tcPr>
            <w:tcW w:w="2161" w:type="dxa"/>
          </w:tcPr>
          <w:p w14:paraId="0B8657A4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53.8</w:t>
            </w:r>
          </w:p>
        </w:tc>
      </w:tr>
      <w:tr w:rsidR="00C40C57" w14:paraId="7275B302" w14:textId="77777777" w:rsidTr="00043A14">
        <w:tc>
          <w:tcPr>
            <w:tcW w:w="2984" w:type="dxa"/>
          </w:tcPr>
          <w:p w14:paraId="220D1974" w14:textId="77777777" w:rsidR="00C40C57" w:rsidRPr="00BC5666" w:rsidRDefault="00C40C57" w:rsidP="00043A14">
            <w:pPr>
              <w:tabs>
                <w:tab w:val="left" w:pos="1185"/>
              </w:tabs>
              <w:rPr>
                <w:lang w:val="es-NI"/>
              </w:rPr>
            </w:pPr>
            <w:r w:rsidRPr="00BC5666">
              <w:rPr>
                <w:b/>
                <w:lang w:val="es-NI"/>
              </w:rPr>
              <w:t xml:space="preserve">   20 – 24</w:t>
            </w:r>
          </w:p>
        </w:tc>
        <w:tc>
          <w:tcPr>
            <w:tcW w:w="2044" w:type="dxa"/>
          </w:tcPr>
          <w:p w14:paraId="6B96315C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49.4</w:t>
            </w:r>
          </w:p>
        </w:tc>
        <w:tc>
          <w:tcPr>
            <w:tcW w:w="2161" w:type="dxa"/>
          </w:tcPr>
          <w:p w14:paraId="7BF0756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51.4</w:t>
            </w:r>
          </w:p>
        </w:tc>
        <w:tc>
          <w:tcPr>
            <w:tcW w:w="2161" w:type="dxa"/>
          </w:tcPr>
          <w:p w14:paraId="52D5E316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45.6</w:t>
            </w:r>
          </w:p>
        </w:tc>
      </w:tr>
      <w:tr w:rsidR="00C40C57" w14:paraId="1E068EE9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286142C6" w14:textId="7B939471" w:rsidR="00C40C57" w:rsidRPr="00BC5666" w:rsidRDefault="00B06BBB" w:rsidP="00043A14">
            <w:pPr>
              <w:tabs>
                <w:tab w:val="left" w:pos="1185"/>
              </w:tabs>
              <w:rPr>
                <w:lang w:val="es-NI"/>
              </w:rPr>
            </w:pPr>
            <w:r w:rsidRPr="00BC5666">
              <w:rPr>
                <w:b/>
                <w:lang w:val="es-NI"/>
              </w:rPr>
              <w:t>Estado civil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364B60E6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5,043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04D12F86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3,279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6818E498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1,764</w:t>
            </w:r>
          </w:p>
        </w:tc>
      </w:tr>
      <w:tr w:rsidR="00C40C57" w14:paraId="34DF3644" w14:textId="77777777" w:rsidTr="00043A14">
        <w:tc>
          <w:tcPr>
            <w:tcW w:w="2984" w:type="dxa"/>
          </w:tcPr>
          <w:p w14:paraId="7CA54580" w14:textId="696D6EB2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Casado</w:t>
            </w:r>
          </w:p>
        </w:tc>
        <w:tc>
          <w:tcPr>
            <w:tcW w:w="2044" w:type="dxa"/>
          </w:tcPr>
          <w:p w14:paraId="6B683CE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66.2</w:t>
            </w:r>
          </w:p>
        </w:tc>
        <w:tc>
          <w:tcPr>
            <w:tcW w:w="2161" w:type="dxa"/>
          </w:tcPr>
          <w:p w14:paraId="18F65300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65.6</w:t>
            </w:r>
          </w:p>
        </w:tc>
        <w:tc>
          <w:tcPr>
            <w:tcW w:w="2161" w:type="dxa"/>
          </w:tcPr>
          <w:p w14:paraId="3CDAE710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67.3</w:t>
            </w:r>
          </w:p>
        </w:tc>
      </w:tr>
      <w:tr w:rsidR="00C40C57" w14:paraId="6DB877FA" w14:textId="77777777" w:rsidTr="00043A14">
        <w:tc>
          <w:tcPr>
            <w:tcW w:w="2984" w:type="dxa"/>
          </w:tcPr>
          <w:p w14:paraId="7231A64B" w14:textId="39B7E73E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Unión libre</w:t>
            </w:r>
          </w:p>
        </w:tc>
        <w:tc>
          <w:tcPr>
            <w:tcW w:w="2044" w:type="dxa"/>
          </w:tcPr>
          <w:p w14:paraId="75C5720B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10.1</w:t>
            </w:r>
          </w:p>
        </w:tc>
        <w:tc>
          <w:tcPr>
            <w:tcW w:w="2161" w:type="dxa"/>
          </w:tcPr>
          <w:p w14:paraId="32B5184B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9.7</w:t>
            </w:r>
          </w:p>
        </w:tc>
        <w:tc>
          <w:tcPr>
            <w:tcW w:w="2161" w:type="dxa"/>
          </w:tcPr>
          <w:p w14:paraId="6871B84E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10.9</w:t>
            </w:r>
          </w:p>
        </w:tc>
      </w:tr>
      <w:tr w:rsidR="00C40C57" w14:paraId="504842A4" w14:textId="77777777" w:rsidTr="00043A14">
        <w:tc>
          <w:tcPr>
            <w:tcW w:w="2984" w:type="dxa"/>
          </w:tcPr>
          <w:p w14:paraId="58DFA462" w14:textId="15E27745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Soltero</w:t>
            </w:r>
          </w:p>
        </w:tc>
        <w:tc>
          <w:tcPr>
            <w:tcW w:w="2044" w:type="dxa"/>
          </w:tcPr>
          <w:p w14:paraId="16B23977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23.2</w:t>
            </w:r>
          </w:p>
        </w:tc>
        <w:tc>
          <w:tcPr>
            <w:tcW w:w="2161" w:type="dxa"/>
          </w:tcPr>
          <w:p w14:paraId="4E53595B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24.4</w:t>
            </w:r>
          </w:p>
        </w:tc>
        <w:tc>
          <w:tcPr>
            <w:tcW w:w="2161" w:type="dxa"/>
          </w:tcPr>
          <w:p w14:paraId="6E97CAB4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21.0</w:t>
            </w:r>
          </w:p>
        </w:tc>
      </w:tr>
      <w:tr w:rsidR="00C40C57" w14:paraId="69B5DB65" w14:textId="77777777" w:rsidTr="00043A14">
        <w:tc>
          <w:tcPr>
            <w:tcW w:w="2984" w:type="dxa"/>
          </w:tcPr>
          <w:p w14:paraId="7F31731A" w14:textId="232FD373" w:rsidR="00C40C57" w:rsidRPr="00BC5666" w:rsidRDefault="00B06BB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Divorciado/separado/viudo</w:t>
            </w:r>
          </w:p>
        </w:tc>
        <w:tc>
          <w:tcPr>
            <w:tcW w:w="2044" w:type="dxa"/>
          </w:tcPr>
          <w:p w14:paraId="2719B15F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0.5</w:t>
            </w:r>
          </w:p>
        </w:tc>
        <w:tc>
          <w:tcPr>
            <w:tcW w:w="2161" w:type="dxa"/>
          </w:tcPr>
          <w:p w14:paraId="1FB645FB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0.4</w:t>
            </w:r>
          </w:p>
        </w:tc>
        <w:tc>
          <w:tcPr>
            <w:tcW w:w="2161" w:type="dxa"/>
          </w:tcPr>
          <w:p w14:paraId="2EA77810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0.8</w:t>
            </w:r>
          </w:p>
        </w:tc>
      </w:tr>
      <w:tr w:rsidR="00C40C57" w14:paraId="65461C25" w14:textId="77777777" w:rsidTr="00043A14">
        <w:tc>
          <w:tcPr>
            <w:tcW w:w="2984" w:type="dxa"/>
            <w:shd w:val="clear" w:color="auto" w:fill="A6A6A6" w:themeFill="background1" w:themeFillShade="A6"/>
          </w:tcPr>
          <w:p w14:paraId="00AEACE1" w14:textId="077909B8" w:rsidR="00C40C57" w:rsidRPr="00BC5666" w:rsidRDefault="00C40C57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Pari</w:t>
            </w:r>
            <w:r w:rsidR="003301FB" w:rsidRPr="00BC5666">
              <w:rPr>
                <w:b/>
                <w:lang w:val="es-NI"/>
              </w:rPr>
              <w:t>dad</w:t>
            </w:r>
          </w:p>
        </w:tc>
        <w:tc>
          <w:tcPr>
            <w:tcW w:w="2044" w:type="dxa"/>
            <w:shd w:val="clear" w:color="auto" w:fill="A6A6A6" w:themeFill="background1" w:themeFillShade="A6"/>
          </w:tcPr>
          <w:p w14:paraId="482AD887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5,032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2EC19401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3,282</w:t>
            </w:r>
          </w:p>
        </w:tc>
        <w:tc>
          <w:tcPr>
            <w:tcW w:w="2161" w:type="dxa"/>
            <w:shd w:val="clear" w:color="auto" w:fill="A6A6A6" w:themeFill="background1" w:themeFillShade="A6"/>
          </w:tcPr>
          <w:p w14:paraId="5357AAF3" w14:textId="77777777" w:rsidR="00C40C57" w:rsidRPr="00BC5666" w:rsidRDefault="00C40C57" w:rsidP="00043A14">
            <w:pPr>
              <w:rPr>
                <w:i/>
                <w:lang w:val="es-NI"/>
              </w:rPr>
            </w:pPr>
            <w:r w:rsidRPr="00BC5666">
              <w:rPr>
                <w:i/>
                <w:lang w:val="es-NI"/>
              </w:rPr>
              <w:t>n = 1,750</w:t>
            </w:r>
          </w:p>
        </w:tc>
      </w:tr>
      <w:tr w:rsidR="00C40C57" w14:paraId="77827D45" w14:textId="77777777" w:rsidTr="00043A14">
        <w:tc>
          <w:tcPr>
            <w:tcW w:w="2984" w:type="dxa"/>
          </w:tcPr>
          <w:p w14:paraId="4DB2988C" w14:textId="6A27CB67" w:rsidR="00C40C57" w:rsidRPr="00BC5666" w:rsidRDefault="00C40C57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Nul</w:t>
            </w:r>
            <w:r w:rsidR="000009BD" w:rsidRPr="00BC5666">
              <w:rPr>
                <w:b/>
                <w:lang w:val="es-NI"/>
              </w:rPr>
              <w:t>ípara</w:t>
            </w:r>
          </w:p>
        </w:tc>
        <w:tc>
          <w:tcPr>
            <w:tcW w:w="2044" w:type="dxa"/>
          </w:tcPr>
          <w:p w14:paraId="57931C48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76.4</w:t>
            </w:r>
          </w:p>
        </w:tc>
        <w:tc>
          <w:tcPr>
            <w:tcW w:w="2161" w:type="dxa"/>
          </w:tcPr>
          <w:p w14:paraId="41B0E5C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78.8</w:t>
            </w:r>
          </w:p>
        </w:tc>
        <w:tc>
          <w:tcPr>
            <w:tcW w:w="2161" w:type="dxa"/>
          </w:tcPr>
          <w:p w14:paraId="3A6CB5AD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71.9</w:t>
            </w:r>
          </w:p>
        </w:tc>
      </w:tr>
      <w:tr w:rsidR="00C40C57" w14:paraId="7A3ECF39" w14:textId="77777777" w:rsidTr="00043A14">
        <w:tc>
          <w:tcPr>
            <w:tcW w:w="2984" w:type="dxa"/>
          </w:tcPr>
          <w:p w14:paraId="640CAE95" w14:textId="134A6173" w:rsidR="00C40C57" w:rsidRPr="00BC5666" w:rsidRDefault="003301F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Uno</w:t>
            </w:r>
          </w:p>
        </w:tc>
        <w:tc>
          <w:tcPr>
            <w:tcW w:w="2044" w:type="dxa"/>
          </w:tcPr>
          <w:p w14:paraId="55928755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19.7</w:t>
            </w:r>
          </w:p>
        </w:tc>
        <w:tc>
          <w:tcPr>
            <w:tcW w:w="2161" w:type="dxa"/>
          </w:tcPr>
          <w:p w14:paraId="715EB5B9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17.9</w:t>
            </w:r>
          </w:p>
        </w:tc>
        <w:tc>
          <w:tcPr>
            <w:tcW w:w="2161" w:type="dxa"/>
          </w:tcPr>
          <w:p w14:paraId="596E5EFC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23.1</w:t>
            </w:r>
          </w:p>
        </w:tc>
      </w:tr>
      <w:tr w:rsidR="00C40C57" w14:paraId="406096B1" w14:textId="77777777" w:rsidTr="00043A14">
        <w:tc>
          <w:tcPr>
            <w:tcW w:w="2984" w:type="dxa"/>
          </w:tcPr>
          <w:p w14:paraId="56A0AA34" w14:textId="6FD795F6" w:rsidR="00C40C57" w:rsidRPr="00BC5666" w:rsidRDefault="003301FB" w:rsidP="00043A14">
            <w:pPr>
              <w:tabs>
                <w:tab w:val="left" w:pos="1185"/>
              </w:tabs>
              <w:rPr>
                <w:b/>
                <w:lang w:val="es-NI"/>
              </w:rPr>
            </w:pPr>
            <w:r w:rsidRPr="00BC5666">
              <w:rPr>
                <w:b/>
                <w:lang w:val="es-NI"/>
              </w:rPr>
              <w:t>Dos o más</w:t>
            </w:r>
          </w:p>
        </w:tc>
        <w:tc>
          <w:tcPr>
            <w:tcW w:w="2044" w:type="dxa"/>
          </w:tcPr>
          <w:p w14:paraId="6CAE6754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3.9</w:t>
            </w:r>
          </w:p>
        </w:tc>
        <w:tc>
          <w:tcPr>
            <w:tcW w:w="2161" w:type="dxa"/>
          </w:tcPr>
          <w:p w14:paraId="79BEE491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3.3</w:t>
            </w:r>
          </w:p>
        </w:tc>
        <w:tc>
          <w:tcPr>
            <w:tcW w:w="2161" w:type="dxa"/>
          </w:tcPr>
          <w:p w14:paraId="2B5393FA" w14:textId="77777777" w:rsidR="00C40C57" w:rsidRPr="00BC5666" w:rsidRDefault="00C40C57" w:rsidP="00043A14">
            <w:pPr>
              <w:rPr>
                <w:lang w:val="es-NI"/>
              </w:rPr>
            </w:pPr>
            <w:r w:rsidRPr="00BC5666">
              <w:rPr>
                <w:lang w:val="es-NI"/>
              </w:rPr>
              <w:t>5.0</w:t>
            </w:r>
          </w:p>
        </w:tc>
      </w:tr>
    </w:tbl>
    <w:p w14:paraId="3635F0C4" w14:textId="77777777" w:rsidR="00C40C57" w:rsidRDefault="00C40C57" w:rsidP="00C40C57">
      <w:pPr>
        <w:spacing w:after="0" w:line="240" w:lineRule="auto"/>
      </w:pPr>
    </w:p>
    <w:p w14:paraId="0D22918B" w14:textId="242E1C80" w:rsidR="00B06BBB" w:rsidRDefault="00B06BBB" w:rsidP="00B06BBB">
      <w:pPr>
        <w:jc w:val="both"/>
        <w:rPr>
          <w:lang w:val="es-NI"/>
        </w:rPr>
      </w:pPr>
      <w:r w:rsidRPr="00E834CD">
        <w:rPr>
          <w:lang w:val="es-NI"/>
        </w:rPr>
        <w:t xml:space="preserve">Los resultados del estudio sugieren que cuando los proveedores de servicios </w:t>
      </w:r>
      <w:r w:rsidR="00C0168D" w:rsidRPr="00E834CD">
        <w:rPr>
          <w:lang w:val="es-NI"/>
        </w:rPr>
        <w:t xml:space="preserve">adaptados </w:t>
      </w:r>
      <w:r w:rsidR="00FC2BDB" w:rsidRPr="00E834CD">
        <w:rPr>
          <w:lang w:val="es-NI"/>
        </w:rPr>
        <w:t xml:space="preserve">a </w:t>
      </w:r>
      <w:r w:rsidR="00C0168D" w:rsidRPr="00E834CD">
        <w:rPr>
          <w:lang w:val="es-NI"/>
        </w:rPr>
        <w:t xml:space="preserve">los </w:t>
      </w:r>
      <w:r w:rsidRPr="00E834CD">
        <w:rPr>
          <w:lang w:val="es-NI"/>
        </w:rPr>
        <w:t xml:space="preserve">jóvenes están capacitados para </w:t>
      </w:r>
      <w:r w:rsidR="008D5462" w:rsidRPr="00E834CD">
        <w:rPr>
          <w:lang w:val="es-NI"/>
        </w:rPr>
        <w:t>brindar</w:t>
      </w:r>
      <w:r w:rsidRPr="00E834CD">
        <w:rPr>
          <w:lang w:val="es-NI"/>
        </w:rPr>
        <w:t xml:space="preserve"> </w:t>
      </w:r>
      <w:r w:rsidR="00DD4DA1" w:rsidRPr="00E834CD">
        <w:rPr>
          <w:lang w:val="es-NI"/>
        </w:rPr>
        <w:t xml:space="preserve">los </w:t>
      </w:r>
      <w:r w:rsidRPr="00E834CD">
        <w:rPr>
          <w:lang w:val="es-NI"/>
        </w:rPr>
        <w:t xml:space="preserve">DIU </w:t>
      </w:r>
      <w:r w:rsidR="00DD4DA1" w:rsidRPr="00E834CD">
        <w:rPr>
          <w:lang w:val="es-NI"/>
        </w:rPr>
        <w:t>e</w:t>
      </w:r>
      <w:r w:rsidRPr="00E834CD">
        <w:rPr>
          <w:lang w:val="es-NI"/>
        </w:rPr>
        <w:t xml:space="preserve"> implantes de una forma segura y competente, </w:t>
      </w:r>
      <w:r w:rsidR="00155D0D" w:rsidRPr="00E834CD">
        <w:rPr>
          <w:lang w:val="es-NI"/>
        </w:rPr>
        <w:t>hay m</w:t>
      </w:r>
      <w:r w:rsidR="00532D6C" w:rsidRPr="00E834CD">
        <w:rPr>
          <w:lang w:val="es-NI"/>
        </w:rPr>
        <w:t>ás</w:t>
      </w:r>
      <w:r w:rsidR="00155D0D" w:rsidRPr="00E834CD">
        <w:rPr>
          <w:lang w:val="es-NI"/>
        </w:rPr>
        <w:t xml:space="preserve"> posibilidades que los </w:t>
      </w:r>
      <w:r w:rsidRPr="00E834CD">
        <w:rPr>
          <w:lang w:val="es-NI"/>
        </w:rPr>
        <w:t xml:space="preserve">jóvenes </w:t>
      </w:r>
      <w:r w:rsidR="00155D0D" w:rsidRPr="00E834CD">
        <w:rPr>
          <w:lang w:val="es-NI"/>
        </w:rPr>
        <w:t>adopten</w:t>
      </w:r>
      <w:r w:rsidRPr="00E834CD">
        <w:rPr>
          <w:lang w:val="es-NI"/>
        </w:rPr>
        <w:t xml:space="preserve"> estos métodos. </w:t>
      </w:r>
      <w:r w:rsidR="009C792D" w:rsidRPr="00E834CD">
        <w:rPr>
          <w:lang w:val="es-NI"/>
        </w:rPr>
        <w:t xml:space="preserve"> </w:t>
      </w:r>
      <w:r w:rsidRPr="00E834CD">
        <w:rPr>
          <w:lang w:val="es-NI"/>
        </w:rPr>
        <w:t>Los resultados del estudio riguroso con grupos compara</w:t>
      </w:r>
      <w:r w:rsidR="000A2E78" w:rsidRPr="00E834CD">
        <w:rPr>
          <w:lang w:val="es-NI"/>
        </w:rPr>
        <w:t>tivos</w:t>
      </w:r>
      <w:r w:rsidRPr="00E834CD">
        <w:rPr>
          <w:lang w:val="es-NI"/>
        </w:rPr>
        <w:t xml:space="preserve"> durante 8 meses después de la intervención demostraron claramente este impacto. </w:t>
      </w:r>
      <w:r w:rsidR="00F91F69" w:rsidRPr="00E834CD">
        <w:rPr>
          <w:lang w:val="es-NI"/>
        </w:rPr>
        <w:t xml:space="preserve"> </w:t>
      </w:r>
      <w:r w:rsidRPr="00E834CD">
        <w:rPr>
          <w:lang w:val="es-NI"/>
        </w:rPr>
        <w:t xml:space="preserve">Al inicio del estudio, el porcentaje de nuevos usuarios </w:t>
      </w:r>
      <w:r w:rsidR="00B1157E" w:rsidRPr="00E834CD">
        <w:rPr>
          <w:lang w:val="es-NI"/>
        </w:rPr>
        <w:t xml:space="preserve">de </w:t>
      </w:r>
      <w:r w:rsidR="00EB4361" w:rsidRPr="00E834CD">
        <w:rPr>
          <w:lang w:val="es-NI"/>
        </w:rPr>
        <w:t xml:space="preserve">LARC </w:t>
      </w:r>
      <w:r w:rsidRPr="00E834CD">
        <w:rPr>
          <w:lang w:val="es-NI"/>
        </w:rPr>
        <w:t>entre todos los usuarios nuevos de planificación familiar en l</w:t>
      </w:r>
      <w:r w:rsidR="004A4F0C" w:rsidRPr="00E834CD">
        <w:rPr>
          <w:lang w:val="es-NI"/>
        </w:rPr>
        <w:t xml:space="preserve">as unidades </w:t>
      </w:r>
      <w:r w:rsidR="004279D0" w:rsidRPr="00E834CD">
        <w:rPr>
          <w:lang w:val="es-NI"/>
        </w:rPr>
        <w:t>con</w:t>
      </w:r>
      <w:r w:rsidRPr="00E834CD">
        <w:rPr>
          <w:lang w:val="es-NI"/>
        </w:rPr>
        <w:t xml:space="preserve"> intervención fue </w:t>
      </w:r>
      <w:r w:rsidR="00E561EE" w:rsidRPr="00E834CD">
        <w:rPr>
          <w:lang w:val="es-NI"/>
        </w:rPr>
        <w:t>más bajo</w:t>
      </w:r>
      <w:r w:rsidRPr="00E834CD">
        <w:rPr>
          <w:lang w:val="es-NI"/>
        </w:rPr>
        <w:t xml:space="preserve"> que en l</w:t>
      </w:r>
      <w:r w:rsidR="004A4F0C" w:rsidRPr="00E834CD">
        <w:rPr>
          <w:lang w:val="es-NI"/>
        </w:rPr>
        <w:t>as unidades</w:t>
      </w:r>
      <w:r w:rsidRPr="00E834CD">
        <w:rPr>
          <w:lang w:val="es-NI"/>
        </w:rPr>
        <w:t xml:space="preserve"> </w:t>
      </w:r>
      <w:r w:rsidR="0014141B" w:rsidRPr="00E834CD">
        <w:rPr>
          <w:lang w:val="es-NI"/>
        </w:rPr>
        <w:t>sin</w:t>
      </w:r>
      <w:r w:rsidRPr="00E834CD">
        <w:rPr>
          <w:lang w:val="es-NI"/>
        </w:rPr>
        <w:t xml:space="preserve"> intervención, mientras </w:t>
      </w:r>
      <w:r w:rsidR="005A6ADC" w:rsidRPr="00E834CD">
        <w:rPr>
          <w:lang w:val="es-NI"/>
        </w:rPr>
        <w:t>que,</w:t>
      </w:r>
      <w:r w:rsidRPr="00E834CD">
        <w:rPr>
          <w:lang w:val="es-NI"/>
        </w:rPr>
        <w:t xml:space="preserve"> durante la fase posterior a la intervención, el porcentaje de nuevos usuarios</w:t>
      </w:r>
      <w:r w:rsidR="00D37A5E" w:rsidRPr="00E834CD">
        <w:rPr>
          <w:lang w:val="es-NI"/>
        </w:rPr>
        <w:t xml:space="preserve"> de LARC</w:t>
      </w:r>
      <w:r w:rsidRPr="00E834CD">
        <w:rPr>
          <w:lang w:val="es-NI"/>
        </w:rPr>
        <w:t xml:space="preserve"> en l</w:t>
      </w:r>
      <w:r w:rsidR="00F51A3E" w:rsidRPr="00E834CD">
        <w:rPr>
          <w:lang w:val="es-NI"/>
        </w:rPr>
        <w:t>as unidade</w:t>
      </w:r>
      <w:r w:rsidRPr="00E834CD">
        <w:rPr>
          <w:lang w:val="es-NI"/>
        </w:rPr>
        <w:t xml:space="preserve">s </w:t>
      </w:r>
      <w:r w:rsidR="004279D0" w:rsidRPr="00E834CD">
        <w:rPr>
          <w:lang w:val="es-NI"/>
        </w:rPr>
        <w:t>con</w:t>
      </w:r>
      <w:r w:rsidRPr="00E834CD">
        <w:rPr>
          <w:lang w:val="es-NI"/>
        </w:rPr>
        <w:t xml:space="preserve"> intervención fue mayor que en </w:t>
      </w:r>
      <w:r w:rsidR="00E834CD" w:rsidRPr="00E834CD">
        <w:rPr>
          <w:lang w:val="es-NI"/>
        </w:rPr>
        <w:t>las unidades</w:t>
      </w:r>
      <w:r w:rsidRPr="00E834CD">
        <w:rPr>
          <w:lang w:val="es-NI"/>
        </w:rPr>
        <w:t xml:space="preserve"> </w:t>
      </w:r>
      <w:r w:rsidR="004279D0" w:rsidRPr="00E834CD">
        <w:rPr>
          <w:lang w:val="es-NI"/>
        </w:rPr>
        <w:t>sin</w:t>
      </w:r>
      <w:r w:rsidRPr="00E834CD">
        <w:rPr>
          <w:lang w:val="es-NI"/>
        </w:rPr>
        <w:t xml:space="preserve"> intervención (ver gráfico 2).</w:t>
      </w:r>
    </w:p>
    <w:p w14:paraId="7517C6D7" w14:textId="77777777" w:rsidR="009C0258" w:rsidRDefault="009C0258" w:rsidP="00B06BBB">
      <w:pPr>
        <w:jc w:val="both"/>
        <w:rPr>
          <w:lang w:val="es-NI"/>
        </w:rPr>
      </w:pPr>
    </w:p>
    <w:p w14:paraId="25BEDC00" w14:textId="57AAFB65" w:rsidR="00241318" w:rsidRPr="00B06BBB" w:rsidRDefault="00B06BBB" w:rsidP="00B06BBB">
      <w:pPr>
        <w:jc w:val="center"/>
        <w:rPr>
          <w:lang w:val="es-NI"/>
        </w:rPr>
      </w:pPr>
      <w:r>
        <w:rPr>
          <w:b/>
          <w:i/>
        </w:rPr>
        <w:lastRenderedPageBreak/>
        <w:t xml:space="preserve">Gráfico </w:t>
      </w:r>
      <w:r w:rsidR="00B87158" w:rsidRPr="00B87158">
        <w:rPr>
          <w:b/>
          <w:i/>
        </w:rPr>
        <w:t>2</w:t>
      </w:r>
    </w:p>
    <w:p w14:paraId="3CF8B2C1" w14:textId="0D4D66B4" w:rsidR="00446767" w:rsidRDefault="00D02BD1" w:rsidP="00B87158">
      <w:pPr>
        <w:jc w:val="center"/>
      </w:pPr>
      <w:r>
        <w:rPr>
          <w:noProof/>
        </w:rPr>
        <w:drawing>
          <wp:inline distT="0" distB="0" distL="0" distR="0" wp14:anchorId="6D69B1A6" wp14:editId="3AC03338">
            <wp:extent cx="4933950" cy="34671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57A249C" w14:textId="1C5D409D" w:rsidR="00241318" w:rsidRDefault="006307F1" w:rsidP="00E26148">
      <w:r w:rsidRPr="00BC5666">
        <w:rPr>
          <w:lang w:val="es-NI"/>
        </w:rPr>
        <w:t>Adicionalmente</w:t>
      </w:r>
      <w:r w:rsidR="00241318">
        <w:t>:</w:t>
      </w:r>
    </w:p>
    <w:p w14:paraId="2A0467D0" w14:textId="739D1AB6" w:rsidR="00B06BBB" w:rsidRDefault="00B06BBB" w:rsidP="009C1E2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lang w:val="es-NI"/>
        </w:rPr>
      </w:pPr>
      <w:r w:rsidRPr="00B06BBB">
        <w:rPr>
          <w:lang w:val="es-NI"/>
        </w:rPr>
        <w:t xml:space="preserve">Después </w:t>
      </w:r>
      <w:r w:rsidR="0044208D" w:rsidRPr="00B06BBB">
        <w:rPr>
          <w:lang w:val="es-NI"/>
        </w:rPr>
        <w:t xml:space="preserve">de 10 meses </w:t>
      </w:r>
      <w:r w:rsidR="00B345F1" w:rsidRPr="00B06BBB">
        <w:rPr>
          <w:lang w:val="es-NI"/>
        </w:rPr>
        <w:t>de intervención</w:t>
      </w:r>
      <w:r w:rsidRPr="00B06BBB">
        <w:rPr>
          <w:lang w:val="es-NI"/>
        </w:rPr>
        <w:t>, p</w:t>
      </w:r>
      <w:r w:rsidR="000D084D">
        <w:rPr>
          <w:lang w:val="es-NI"/>
        </w:rPr>
        <w:t>or</w:t>
      </w:r>
      <w:r w:rsidRPr="00B06BBB">
        <w:rPr>
          <w:lang w:val="es-NI"/>
        </w:rPr>
        <w:t xml:space="preserve"> cada 100 </w:t>
      </w:r>
      <w:r w:rsidR="004941B6">
        <w:rPr>
          <w:lang w:val="es-NI"/>
        </w:rPr>
        <w:t>mujeres</w:t>
      </w:r>
      <w:r w:rsidRPr="00B06BBB">
        <w:rPr>
          <w:lang w:val="es-NI"/>
        </w:rPr>
        <w:t xml:space="preserve"> que </w:t>
      </w:r>
      <w:r w:rsidR="004941B6">
        <w:rPr>
          <w:lang w:val="es-NI"/>
        </w:rPr>
        <w:t>adoptaron LARC</w:t>
      </w:r>
      <w:r w:rsidR="00771EEF">
        <w:rPr>
          <w:lang w:val="es-NI"/>
        </w:rPr>
        <w:t xml:space="preserve"> </w:t>
      </w:r>
      <w:r w:rsidRPr="00B06BBB">
        <w:rPr>
          <w:lang w:val="es-NI"/>
        </w:rPr>
        <w:t xml:space="preserve">en </w:t>
      </w:r>
      <w:r w:rsidR="00B345F1">
        <w:rPr>
          <w:lang w:val="es-NI"/>
        </w:rPr>
        <w:t>las unidades</w:t>
      </w:r>
      <w:r w:rsidRPr="00B06BBB">
        <w:rPr>
          <w:lang w:val="es-NI"/>
        </w:rPr>
        <w:t xml:space="preserve"> </w:t>
      </w:r>
      <w:r w:rsidR="00771EEF">
        <w:rPr>
          <w:lang w:val="es-NI"/>
        </w:rPr>
        <w:t>sin</w:t>
      </w:r>
      <w:r w:rsidRPr="00B06BBB">
        <w:rPr>
          <w:lang w:val="es-NI"/>
        </w:rPr>
        <w:t xml:space="preserve"> intervención, 130 </w:t>
      </w:r>
      <w:r w:rsidR="00F13DF4">
        <w:rPr>
          <w:lang w:val="es-NI"/>
        </w:rPr>
        <w:t>mujeres</w:t>
      </w:r>
      <w:r w:rsidRPr="00B06BBB">
        <w:rPr>
          <w:lang w:val="es-NI"/>
        </w:rPr>
        <w:t xml:space="preserve"> adoptaron </w:t>
      </w:r>
      <w:r w:rsidR="00F13DF4">
        <w:rPr>
          <w:lang w:val="es-NI"/>
        </w:rPr>
        <w:t>LARC e</w:t>
      </w:r>
      <w:r w:rsidRPr="00B06BBB">
        <w:rPr>
          <w:lang w:val="es-NI"/>
        </w:rPr>
        <w:t xml:space="preserve">n </w:t>
      </w:r>
      <w:r w:rsidR="002F6F44">
        <w:rPr>
          <w:lang w:val="es-NI"/>
        </w:rPr>
        <w:t>unidades</w:t>
      </w:r>
      <w:r w:rsidRPr="00B06BBB">
        <w:rPr>
          <w:lang w:val="es-NI"/>
        </w:rPr>
        <w:t xml:space="preserve"> </w:t>
      </w:r>
      <w:r w:rsidR="00F13DF4">
        <w:rPr>
          <w:lang w:val="es-NI"/>
        </w:rPr>
        <w:t>con</w:t>
      </w:r>
      <w:r w:rsidRPr="00B06BBB">
        <w:rPr>
          <w:lang w:val="es-NI"/>
        </w:rPr>
        <w:t xml:space="preserve"> intervención.</w:t>
      </w:r>
    </w:p>
    <w:p w14:paraId="7B613189" w14:textId="77777777" w:rsidR="009C1E28" w:rsidRPr="00B06BBB" w:rsidRDefault="009C1E28" w:rsidP="009C1E28">
      <w:pPr>
        <w:pStyle w:val="ListParagraph"/>
        <w:spacing w:after="0" w:line="240" w:lineRule="auto"/>
        <w:jc w:val="both"/>
        <w:rPr>
          <w:lang w:val="es-NI"/>
        </w:rPr>
      </w:pPr>
    </w:p>
    <w:p w14:paraId="23D08271" w14:textId="152DCC98" w:rsidR="00B06BBB" w:rsidRPr="008D594D" w:rsidRDefault="00272891" w:rsidP="009C1E2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lang w:val="es-NI"/>
        </w:rPr>
      </w:pPr>
      <w:r w:rsidRPr="0068065A">
        <w:rPr>
          <w:lang w:val="es-NI"/>
        </w:rPr>
        <w:t xml:space="preserve">También, </w:t>
      </w:r>
      <w:r w:rsidR="00BD76D1" w:rsidRPr="0068065A">
        <w:rPr>
          <w:lang w:val="es-NI"/>
        </w:rPr>
        <w:t>es</w:t>
      </w:r>
      <w:r w:rsidRPr="0068065A">
        <w:rPr>
          <w:lang w:val="es-NI"/>
        </w:rPr>
        <w:t xml:space="preserve"> menos probable</w:t>
      </w:r>
      <w:r>
        <w:rPr>
          <w:lang w:val="es-NI"/>
        </w:rPr>
        <w:t xml:space="preserve"> que los n</w:t>
      </w:r>
      <w:r w:rsidR="00B06BBB" w:rsidRPr="00B06BBB">
        <w:rPr>
          <w:lang w:val="es-NI"/>
        </w:rPr>
        <w:t xml:space="preserve">uevos </w:t>
      </w:r>
      <w:r w:rsidR="00F13DF4">
        <w:rPr>
          <w:lang w:val="es-NI"/>
        </w:rPr>
        <w:t>usuarios</w:t>
      </w:r>
      <w:r w:rsidR="00B06BBB" w:rsidRPr="00B06BBB">
        <w:rPr>
          <w:lang w:val="es-NI"/>
        </w:rPr>
        <w:t xml:space="preserve"> </w:t>
      </w:r>
      <w:r w:rsidR="00BD76D1">
        <w:rPr>
          <w:lang w:val="es-NI"/>
        </w:rPr>
        <w:t xml:space="preserve">elijan un </w:t>
      </w:r>
      <w:r w:rsidR="00B06BBB" w:rsidRPr="00B06BBB">
        <w:rPr>
          <w:lang w:val="es-NI"/>
        </w:rPr>
        <w:t>método</w:t>
      </w:r>
      <w:r w:rsidR="002E4368">
        <w:rPr>
          <w:lang w:val="es-NI"/>
        </w:rPr>
        <w:t xml:space="preserve"> de</w:t>
      </w:r>
      <w:r w:rsidR="00B06BBB" w:rsidRPr="00B06BBB">
        <w:rPr>
          <w:lang w:val="es-NI"/>
        </w:rPr>
        <w:t xml:space="preserve"> corta </w:t>
      </w:r>
      <w:r w:rsidR="00BD76D1">
        <w:rPr>
          <w:lang w:val="es-NI"/>
        </w:rPr>
        <w:t xml:space="preserve">duración </w:t>
      </w:r>
      <w:r w:rsidR="00B06BBB" w:rsidRPr="00B06BBB">
        <w:rPr>
          <w:lang w:val="es-NI"/>
        </w:rPr>
        <w:t xml:space="preserve">después de la intervención. </w:t>
      </w:r>
      <w:r w:rsidR="002E4368">
        <w:rPr>
          <w:lang w:val="es-NI"/>
        </w:rPr>
        <w:t xml:space="preserve"> </w:t>
      </w:r>
      <w:r w:rsidR="00B06BBB" w:rsidRPr="00B06BBB">
        <w:rPr>
          <w:lang w:val="es-NI"/>
        </w:rPr>
        <w:t xml:space="preserve">Durante la fase posterior a la intervención, sólo 93 </w:t>
      </w:r>
      <w:r w:rsidR="001660B1">
        <w:rPr>
          <w:lang w:val="es-NI"/>
        </w:rPr>
        <w:t>mujeres</w:t>
      </w:r>
      <w:r w:rsidR="00B06BBB" w:rsidRPr="00B06BBB">
        <w:rPr>
          <w:lang w:val="es-NI"/>
        </w:rPr>
        <w:t xml:space="preserve"> en </w:t>
      </w:r>
      <w:r w:rsidR="001660B1">
        <w:rPr>
          <w:lang w:val="es-NI"/>
        </w:rPr>
        <w:t>las unidades</w:t>
      </w:r>
      <w:r w:rsidR="00B06BBB" w:rsidRPr="00B06BBB">
        <w:rPr>
          <w:lang w:val="es-NI"/>
        </w:rPr>
        <w:t xml:space="preserve"> </w:t>
      </w:r>
      <w:r w:rsidR="0081685B">
        <w:rPr>
          <w:lang w:val="es-NI"/>
        </w:rPr>
        <w:t>con</w:t>
      </w:r>
      <w:r w:rsidR="00B06BBB" w:rsidRPr="00B06BBB">
        <w:rPr>
          <w:lang w:val="es-NI"/>
        </w:rPr>
        <w:t xml:space="preserve"> intervención </w:t>
      </w:r>
      <w:r w:rsidR="000E7DCE">
        <w:rPr>
          <w:lang w:val="es-NI"/>
        </w:rPr>
        <w:t>optaron por usar</w:t>
      </w:r>
      <w:r w:rsidR="00B06BBB" w:rsidRPr="00B06BBB">
        <w:rPr>
          <w:lang w:val="es-NI"/>
        </w:rPr>
        <w:t xml:space="preserve"> métodos de corta </w:t>
      </w:r>
      <w:r w:rsidR="0081685B">
        <w:rPr>
          <w:lang w:val="es-NI"/>
        </w:rPr>
        <w:t xml:space="preserve">duración </w:t>
      </w:r>
      <w:r w:rsidR="00B06BBB" w:rsidRPr="00B06BBB">
        <w:rPr>
          <w:lang w:val="es-NI"/>
        </w:rPr>
        <w:t xml:space="preserve">por cada 100 que </w:t>
      </w:r>
      <w:r w:rsidR="007708E1">
        <w:rPr>
          <w:lang w:val="es-NI"/>
        </w:rPr>
        <w:t xml:space="preserve">los </w:t>
      </w:r>
      <w:r w:rsidR="00B06BBB" w:rsidRPr="00B06BBB">
        <w:rPr>
          <w:lang w:val="es-NI"/>
        </w:rPr>
        <w:t>eligió en los sitios de control.</w:t>
      </w:r>
    </w:p>
    <w:p w14:paraId="296D97CB" w14:textId="77777777" w:rsidR="009C1E28" w:rsidRPr="008D594D" w:rsidRDefault="009C1E28" w:rsidP="009C1E28">
      <w:pPr>
        <w:pStyle w:val="ListParagraph"/>
        <w:spacing w:after="0" w:line="240" w:lineRule="auto"/>
        <w:rPr>
          <w:lang w:val="es-NI"/>
        </w:rPr>
      </w:pPr>
    </w:p>
    <w:p w14:paraId="4D5483CA" w14:textId="44B80A52" w:rsidR="0006440D" w:rsidRPr="009C1E28" w:rsidRDefault="009C1E28" w:rsidP="009C1E28">
      <w:pPr>
        <w:jc w:val="both"/>
        <w:rPr>
          <w:lang w:val="es-NI"/>
        </w:rPr>
      </w:pPr>
      <w:r w:rsidRPr="009C1E28">
        <w:rPr>
          <w:lang w:val="es-NI"/>
        </w:rPr>
        <w:t xml:space="preserve">Los resultados del estudio también sugieren que un número creciente de mujeres que </w:t>
      </w:r>
      <w:r w:rsidR="00FB4C7E">
        <w:rPr>
          <w:lang w:val="es-NI"/>
        </w:rPr>
        <w:t xml:space="preserve">aún </w:t>
      </w:r>
      <w:r w:rsidRPr="009C1E28">
        <w:rPr>
          <w:lang w:val="es-NI"/>
        </w:rPr>
        <w:t xml:space="preserve">no ha comenzado </w:t>
      </w:r>
      <w:r w:rsidR="00001EA0">
        <w:rPr>
          <w:lang w:val="es-NI"/>
        </w:rPr>
        <w:t>l</w:t>
      </w:r>
      <w:r w:rsidRPr="009C1E28">
        <w:rPr>
          <w:lang w:val="es-NI"/>
        </w:rPr>
        <w:t xml:space="preserve">a maternidad buscó servicios </w:t>
      </w:r>
      <w:r w:rsidR="00602828">
        <w:rPr>
          <w:lang w:val="es-NI"/>
        </w:rPr>
        <w:t>anticonceptivos</w:t>
      </w:r>
      <w:r w:rsidRPr="009C1E28">
        <w:rPr>
          <w:lang w:val="es-NI"/>
        </w:rPr>
        <w:t xml:space="preserve"> y a menudo </w:t>
      </w:r>
      <w:r w:rsidR="00602828">
        <w:rPr>
          <w:lang w:val="es-NI"/>
        </w:rPr>
        <w:t xml:space="preserve">determinó usar </w:t>
      </w:r>
      <w:r w:rsidR="00530C27">
        <w:rPr>
          <w:lang w:val="es-NI"/>
        </w:rPr>
        <w:t xml:space="preserve">algún </w:t>
      </w:r>
      <w:r w:rsidRPr="009C1E28">
        <w:rPr>
          <w:lang w:val="es-NI"/>
        </w:rPr>
        <w:t xml:space="preserve">método de acción prolongada. </w:t>
      </w:r>
      <w:r w:rsidR="00530C27">
        <w:rPr>
          <w:lang w:val="es-NI"/>
        </w:rPr>
        <w:t xml:space="preserve"> </w:t>
      </w:r>
      <w:r w:rsidRPr="009C1E28">
        <w:rPr>
          <w:lang w:val="es-NI"/>
        </w:rPr>
        <w:t>Durante el período de</w:t>
      </w:r>
      <w:r w:rsidR="00063616">
        <w:rPr>
          <w:lang w:val="es-NI"/>
        </w:rPr>
        <w:t>l</w:t>
      </w:r>
      <w:r w:rsidRPr="009C1E28">
        <w:rPr>
          <w:lang w:val="es-NI"/>
        </w:rPr>
        <w:t xml:space="preserve"> estudio, </w:t>
      </w:r>
      <w:r w:rsidR="00375CE6">
        <w:rPr>
          <w:lang w:val="es-NI"/>
        </w:rPr>
        <w:t xml:space="preserve">el </w:t>
      </w:r>
      <w:r w:rsidRPr="009C1E28">
        <w:rPr>
          <w:lang w:val="es-NI"/>
        </w:rPr>
        <w:t>63</w:t>
      </w:r>
      <w:r w:rsidR="000458A5">
        <w:rPr>
          <w:lang w:val="es-NI"/>
        </w:rPr>
        <w:t>%</w:t>
      </w:r>
      <w:r w:rsidRPr="009C1E28">
        <w:rPr>
          <w:lang w:val="es-NI"/>
        </w:rPr>
        <w:t xml:space="preserve"> de las mujeres que asistieron a servicios </w:t>
      </w:r>
      <w:r w:rsidR="00375CE6">
        <w:rPr>
          <w:lang w:val="es-NI"/>
        </w:rPr>
        <w:t xml:space="preserve">adaptados a los </w:t>
      </w:r>
      <w:r w:rsidRPr="009C1E28">
        <w:rPr>
          <w:lang w:val="es-NI"/>
        </w:rPr>
        <w:t xml:space="preserve">jóvenes aún no había tenido </w:t>
      </w:r>
      <w:r w:rsidR="00DA10D4">
        <w:rPr>
          <w:lang w:val="es-NI"/>
        </w:rPr>
        <w:t>hijos</w:t>
      </w:r>
      <w:r w:rsidRPr="009C1E28">
        <w:rPr>
          <w:lang w:val="es-NI"/>
        </w:rPr>
        <w:t xml:space="preserve"> y </w:t>
      </w:r>
      <w:r w:rsidR="0075207C">
        <w:rPr>
          <w:lang w:val="es-NI"/>
        </w:rPr>
        <w:t>en su totalidad</w:t>
      </w:r>
      <w:r w:rsidRPr="009C1E28">
        <w:rPr>
          <w:lang w:val="es-NI"/>
        </w:rPr>
        <w:t xml:space="preserve"> </w:t>
      </w:r>
      <w:r w:rsidR="0090776C">
        <w:rPr>
          <w:lang w:val="es-NI"/>
        </w:rPr>
        <w:t xml:space="preserve">el </w:t>
      </w:r>
      <w:r w:rsidRPr="009C1E28">
        <w:rPr>
          <w:lang w:val="es-NI"/>
        </w:rPr>
        <w:t>81</w:t>
      </w:r>
      <w:r w:rsidR="000458A5">
        <w:rPr>
          <w:lang w:val="es-NI"/>
        </w:rPr>
        <w:t>%</w:t>
      </w:r>
      <w:r w:rsidRPr="009C1E28">
        <w:rPr>
          <w:lang w:val="es-NI"/>
        </w:rPr>
        <w:t xml:space="preserve"> de las mujeres que </w:t>
      </w:r>
      <w:r w:rsidR="00B17A57">
        <w:rPr>
          <w:lang w:val="es-NI"/>
        </w:rPr>
        <w:t xml:space="preserve">optaron </w:t>
      </w:r>
      <w:r w:rsidR="0075207C">
        <w:rPr>
          <w:lang w:val="es-NI"/>
        </w:rPr>
        <w:t>emplear</w:t>
      </w:r>
      <w:r w:rsidR="00434D8F">
        <w:rPr>
          <w:lang w:val="es-NI"/>
        </w:rPr>
        <w:t xml:space="preserve"> </w:t>
      </w:r>
      <w:r w:rsidRPr="009C1E28">
        <w:rPr>
          <w:lang w:val="es-NI"/>
        </w:rPr>
        <w:t xml:space="preserve">un método de acción prolongada por primera vez en los sitios </w:t>
      </w:r>
      <w:r w:rsidR="00B17A57">
        <w:rPr>
          <w:lang w:val="es-NI"/>
        </w:rPr>
        <w:t>con</w:t>
      </w:r>
      <w:r w:rsidRPr="009C1E28">
        <w:rPr>
          <w:lang w:val="es-NI"/>
        </w:rPr>
        <w:t xml:space="preserve"> intervención no había tenido niños</w:t>
      </w:r>
      <w:r w:rsidR="00E26148">
        <w:rPr>
          <w:rStyle w:val="EndnoteReference"/>
        </w:rPr>
        <w:endnoteReference w:id="12"/>
      </w:r>
      <w:r>
        <w:rPr>
          <w:lang w:val="es-NI"/>
        </w:rPr>
        <w:t xml:space="preserve">. </w:t>
      </w:r>
      <w:r w:rsidR="00B17A57">
        <w:rPr>
          <w:lang w:val="es-NI"/>
        </w:rPr>
        <w:t xml:space="preserve"> </w:t>
      </w:r>
      <w:r w:rsidRPr="009C1E28">
        <w:rPr>
          <w:lang w:val="es-NI"/>
        </w:rPr>
        <w:t>En general, el estudio encontró que mejo</w:t>
      </w:r>
      <w:r w:rsidR="00EB28C7">
        <w:rPr>
          <w:lang w:val="es-NI"/>
        </w:rPr>
        <w:t>res</w:t>
      </w:r>
      <w:r w:rsidRPr="009C1E28">
        <w:rPr>
          <w:lang w:val="es-NI"/>
        </w:rPr>
        <w:t xml:space="preserve"> habilidades </w:t>
      </w:r>
      <w:r w:rsidR="001219B7">
        <w:rPr>
          <w:lang w:val="es-NI"/>
        </w:rPr>
        <w:t xml:space="preserve">de </w:t>
      </w:r>
      <w:r w:rsidR="00760D27">
        <w:rPr>
          <w:lang w:val="es-NI"/>
        </w:rPr>
        <w:t xml:space="preserve">los proveedores </w:t>
      </w:r>
      <w:r w:rsidRPr="009C1E28">
        <w:rPr>
          <w:lang w:val="es-NI"/>
        </w:rPr>
        <w:t xml:space="preserve">y asesoramiento </w:t>
      </w:r>
      <w:r w:rsidR="00AE3EF1">
        <w:rPr>
          <w:lang w:val="es-NI"/>
        </w:rPr>
        <w:t>sobre los LARC</w:t>
      </w:r>
      <w:r w:rsidRPr="009C1E28">
        <w:rPr>
          <w:lang w:val="es-NI"/>
        </w:rPr>
        <w:t xml:space="preserve"> </w:t>
      </w:r>
      <w:r w:rsidR="006E3ABA">
        <w:rPr>
          <w:lang w:val="es-NI"/>
        </w:rPr>
        <w:t>produjo</w:t>
      </w:r>
      <w:r w:rsidR="00AE3EF1">
        <w:rPr>
          <w:lang w:val="es-NI"/>
        </w:rPr>
        <w:t xml:space="preserve"> a</w:t>
      </w:r>
      <w:r w:rsidR="00CE5BBD">
        <w:rPr>
          <w:lang w:val="es-NI"/>
        </w:rPr>
        <w:t xml:space="preserve"> una</w:t>
      </w:r>
      <w:r w:rsidRPr="009C1E28">
        <w:rPr>
          <w:lang w:val="es-NI"/>
        </w:rPr>
        <w:t xml:space="preserve"> creciente </w:t>
      </w:r>
      <w:r w:rsidR="006E3ABA">
        <w:rPr>
          <w:lang w:val="es-NI"/>
        </w:rPr>
        <w:t>acogida entre los</w:t>
      </w:r>
      <w:r w:rsidRPr="009C1E28">
        <w:rPr>
          <w:lang w:val="es-NI"/>
        </w:rPr>
        <w:t xml:space="preserve"> jóvenes, mientras </w:t>
      </w:r>
      <w:r w:rsidR="00E237C1">
        <w:rPr>
          <w:lang w:val="es-NI"/>
        </w:rPr>
        <w:t>que l</w:t>
      </w:r>
      <w:r w:rsidR="00C9474A">
        <w:rPr>
          <w:lang w:val="es-NI"/>
        </w:rPr>
        <w:t>a</w:t>
      </w:r>
      <w:r w:rsidR="00E237C1">
        <w:rPr>
          <w:lang w:val="es-NI"/>
        </w:rPr>
        <w:t xml:space="preserve"> </w:t>
      </w:r>
      <w:r w:rsidRPr="009C1E28">
        <w:rPr>
          <w:lang w:val="es-NI"/>
        </w:rPr>
        <w:t>consejer</w:t>
      </w:r>
      <w:r w:rsidR="00C9474A">
        <w:rPr>
          <w:lang w:val="es-NI"/>
        </w:rPr>
        <w:t>ía</w:t>
      </w:r>
      <w:r w:rsidRPr="009C1E28">
        <w:rPr>
          <w:lang w:val="es-NI"/>
        </w:rPr>
        <w:t xml:space="preserve"> </w:t>
      </w:r>
      <w:r w:rsidR="00E237C1">
        <w:rPr>
          <w:lang w:val="es-NI"/>
        </w:rPr>
        <w:t>de pareja</w:t>
      </w:r>
      <w:r w:rsidR="00697660" w:rsidRPr="009C1E28">
        <w:rPr>
          <w:lang w:val="es-NI"/>
        </w:rPr>
        <w:t xml:space="preserve"> </w:t>
      </w:r>
      <w:r w:rsidR="00736153">
        <w:rPr>
          <w:lang w:val="es-NI"/>
        </w:rPr>
        <w:t xml:space="preserve">aparentemente no </w:t>
      </w:r>
      <w:r w:rsidRPr="009C1E28">
        <w:rPr>
          <w:lang w:val="es-NI"/>
        </w:rPr>
        <w:t>aument</w:t>
      </w:r>
      <w:r w:rsidR="00D13216">
        <w:rPr>
          <w:lang w:val="es-NI"/>
        </w:rPr>
        <w:t>ó</w:t>
      </w:r>
      <w:r w:rsidRPr="009C1E28">
        <w:rPr>
          <w:lang w:val="es-NI"/>
        </w:rPr>
        <w:t xml:space="preserve"> el uso de </w:t>
      </w:r>
      <w:r w:rsidR="00736153">
        <w:rPr>
          <w:lang w:val="es-NI"/>
        </w:rPr>
        <w:t>LARC</w:t>
      </w:r>
      <w:r w:rsidRPr="009C1E28">
        <w:rPr>
          <w:lang w:val="es-NI"/>
        </w:rPr>
        <w:t xml:space="preserve"> entre los jóvenes.</w:t>
      </w:r>
    </w:p>
    <w:p w14:paraId="371D4C3B" w14:textId="12FF0416" w:rsidR="00D97884" w:rsidRPr="009C1E28" w:rsidRDefault="009C1E28">
      <w:pPr>
        <w:rPr>
          <w:rFonts w:ascii="Times New Roman" w:hAnsi="Times New Roman" w:cs="Times New Roman"/>
          <w:sz w:val="20"/>
          <w:szCs w:val="24"/>
          <w:lang w:val="es-NI"/>
        </w:rPr>
      </w:pPr>
      <w:r w:rsidRPr="009C1E28">
        <w:rPr>
          <w:rFonts w:ascii="Times New Roman" w:hAnsi="Times New Roman" w:cs="Times New Roman"/>
          <w:b/>
          <w:sz w:val="20"/>
          <w:szCs w:val="24"/>
          <w:lang w:val="es-NI"/>
        </w:rPr>
        <w:t>Reconocimiento</w:t>
      </w:r>
      <w:r w:rsidR="00BC5666" w:rsidRPr="009C1E28">
        <w:rPr>
          <w:rFonts w:ascii="Times New Roman" w:hAnsi="Times New Roman" w:cs="Times New Roman"/>
          <w:b/>
          <w:sz w:val="20"/>
          <w:szCs w:val="24"/>
          <w:lang w:val="es-NI"/>
        </w:rPr>
        <w:t>:</w:t>
      </w:r>
      <w:r w:rsidR="00BC5666">
        <w:rPr>
          <w:rFonts w:ascii="Times New Roman" w:hAnsi="Times New Roman" w:cs="Times New Roman"/>
          <w:sz w:val="20"/>
          <w:szCs w:val="24"/>
          <w:lang w:val="es-NI"/>
        </w:rPr>
        <w:t xml:space="preserve"> Gran</w:t>
      </w:r>
      <w:r w:rsidR="003D42C4">
        <w:rPr>
          <w:rFonts w:ascii="Times New Roman" w:hAnsi="Times New Roman" w:cs="Times New Roman"/>
          <w:sz w:val="20"/>
          <w:szCs w:val="24"/>
          <w:lang w:val="es-NI"/>
        </w:rPr>
        <w:t xml:space="preserve"> parte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del contenido de este estudio de caso es una adaptación de </w:t>
      </w:r>
      <w:r w:rsidR="00924757" w:rsidRPr="00924757">
        <w:rPr>
          <w:rFonts w:ascii="Times New Roman" w:hAnsi="Times New Roman" w:cs="Times New Roman"/>
          <w:i/>
          <w:sz w:val="20"/>
          <w:szCs w:val="20"/>
          <w:lang w:val="es-NI"/>
        </w:rPr>
        <w:t>Testing a Service-Delivery Model for Offering Long Acting Reversible Contraceptive Methods to Youth in Ethiopia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, una </w:t>
      </w:r>
      <w:r w:rsidR="00621887">
        <w:rPr>
          <w:rFonts w:ascii="Times New Roman" w:hAnsi="Times New Roman" w:cs="Times New Roman"/>
          <w:sz w:val="20"/>
          <w:szCs w:val="24"/>
          <w:lang w:val="es-NI"/>
        </w:rPr>
        <w:t>reseñ</w:t>
      </w:r>
      <w:r w:rsidR="00050D6C">
        <w:rPr>
          <w:rFonts w:ascii="Times New Roman" w:hAnsi="Times New Roman" w:cs="Times New Roman"/>
          <w:sz w:val="20"/>
          <w:szCs w:val="24"/>
          <w:lang w:val="es-NI"/>
        </w:rPr>
        <w:t>a</w:t>
      </w:r>
      <w:r w:rsidR="00621887">
        <w:rPr>
          <w:rFonts w:ascii="Times New Roman" w:hAnsi="Times New Roman" w:cs="Times New Roman"/>
          <w:sz w:val="20"/>
          <w:szCs w:val="24"/>
          <w:lang w:val="es-NI"/>
        </w:rPr>
        <w:t xml:space="preserve"> </w:t>
      </w:r>
      <w:r w:rsidR="00000427">
        <w:rPr>
          <w:rFonts w:ascii="Times New Roman" w:hAnsi="Times New Roman" w:cs="Times New Roman"/>
          <w:sz w:val="20"/>
          <w:szCs w:val="24"/>
          <w:lang w:val="es-NI"/>
        </w:rPr>
        <w:t xml:space="preserve">de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política </w:t>
      </w:r>
      <w:r w:rsidRPr="00FF2ACA">
        <w:rPr>
          <w:rFonts w:ascii="Times New Roman" w:hAnsi="Times New Roman" w:cs="Times New Roman"/>
          <w:sz w:val="20"/>
          <w:szCs w:val="24"/>
          <w:lang w:val="es-NI"/>
        </w:rPr>
        <w:lastRenderedPageBreak/>
        <w:t>financiada por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 la USAID </w:t>
      </w:r>
      <w:r w:rsidR="00D67C91">
        <w:rPr>
          <w:rFonts w:ascii="Times New Roman" w:hAnsi="Times New Roman" w:cs="Times New Roman"/>
          <w:sz w:val="20"/>
          <w:szCs w:val="24"/>
          <w:lang w:val="es-NI"/>
        </w:rPr>
        <w:t xml:space="preserve">Proyecto evidencia para Actuar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(E2A). </w:t>
      </w:r>
      <w:r w:rsidR="007239FC">
        <w:rPr>
          <w:rFonts w:ascii="Times New Roman" w:hAnsi="Times New Roman" w:cs="Times New Roman"/>
          <w:sz w:val="20"/>
          <w:szCs w:val="24"/>
          <w:lang w:val="es-NI"/>
        </w:rPr>
        <w:t xml:space="preserve">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Puede aprender más sobre el proyecto y leer </w:t>
      </w:r>
      <w:r w:rsidR="00CA2CAC">
        <w:rPr>
          <w:rFonts w:ascii="Times New Roman" w:hAnsi="Times New Roman" w:cs="Times New Roman"/>
          <w:sz w:val="20"/>
          <w:szCs w:val="24"/>
          <w:lang w:val="es-NI"/>
        </w:rPr>
        <w:t xml:space="preserve">toda la </w:t>
      </w:r>
      <w:r w:rsidR="007239FC">
        <w:rPr>
          <w:rFonts w:ascii="Times New Roman" w:hAnsi="Times New Roman" w:cs="Times New Roman"/>
          <w:sz w:val="20"/>
          <w:szCs w:val="24"/>
          <w:lang w:val="es-NI"/>
        </w:rPr>
        <w:t>reseña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 </w:t>
      </w:r>
      <w:r w:rsidR="00000427">
        <w:rPr>
          <w:rFonts w:ascii="Times New Roman" w:hAnsi="Times New Roman" w:cs="Times New Roman"/>
          <w:sz w:val="20"/>
          <w:szCs w:val="24"/>
          <w:lang w:val="es-NI"/>
        </w:rPr>
        <w:t xml:space="preserve">de la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>política</w:t>
      </w:r>
      <w:r w:rsidR="00A81B1D">
        <w:rPr>
          <w:rFonts w:ascii="Times New Roman" w:hAnsi="Times New Roman" w:cs="Times New Roman"/>
          <w:sz w:val="20"/>
          <w:szCs w:val="24"/>
          <w:lang w:val="es-NI"/>
        </w:rPr>
        <w:t xml:space="preserve"> </w:t>
      </w:r>
      <w:r w:rsidRPr="009C1E28">
        <w:rPr>
          <w:rFonts w:ascii="Times New Roman" w:hAnsi="Times New Roman" w:cs="Times New Roman"/>
          <w:sz w:val="20"/>
          <w:szCs w:val="24"/>
          <w:lang w:val="es-NI"/>
        </w:rPr>
        <w:t xml:space="preserve">en </w:t>
      </w:r>
      <w:hyperlink r:id="rId10" w:history="1">
        <w:r w:rsidRPr="00A06C1F">
          <w:rPr>
            <w:rStyle w:val="Hyperlink"/>
            <w:rFonts w:ascii="Times New Roman" w:hAnsi="Times New Roman" w:cs="Times New Roman"/>
            <w:sz w:val="20"/>
            <w:szCs w:val="24"/>
            <w:lang w:val="es-NI"/>
          </w:rPr>
          <w:t>www.e2aproject.org</w:t>
        </w:r>
      </w:hyperlink>
    </w:p>
    <w:sectPr w:rsidR="00D97884" w:rsidRPr="009C1E28" w:rsidSect="00AF3215">
      <w:headerReference w:type="default" r:id="rId11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973EC" w14:textId="77777777" w:rsidR="00366441" w:rsidRDefault="00366441" w:rsidP="007F7D16">
      <w:pPr>
        <w:spacing w:after="0" w:line="240" w:lineRule="auto"/>
      </w:pPr>
      <w:r>
        <w:separator/>
      </w:r>
    </w:p>
  </w:endnote>
  <w:endnote w:type="continuationSeparator" w:id="0">
    <w:p w14:paraId="5CC57C7D" w14:textId="77777777" w:rsidR="00366441" w:rsidRDefault="00366441" w:rsidP="007F7D16">
      <w:pPr>
        <w:spacing w:after="0" w:line="240" w:lineRule="auto"/>
      </w:pPr>
      <w:r>
        <w:continuationSeparator/>
      </w:r>
    </w:p>
  </w:endnote>
  <w:endnote w:id="1">
    <w:p w14:paraId="71DED658" w14:textId="311C1FE1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</w:t>
      </w:r>
      <w:r w:rsidR="0097123E">
        <w:t>Fondo de Población de las Naciones Unidas</w:t>
      </w:r>
      <w:r w:rsidRPr="0050212D">
        <w:t xml:space="preserve"> (</w:t>
      </w:r>
      <w:r w:rsidR="004B72A3">
        <w:t>FPNU</w:t>
      </w:r>
      <w:r w:rsidRPr="0050212D">
        <w:t xml:space="preserve">), </w:t>
      </w:r>
      <w:r w:rsidRPr="0050212D">
        <w:rPr>
          <w:i/>
        </w:rPr>
        <w:t xml:space="preserve">The Power of 1.8 Billion: Adolescents, Youth, and the Transformation of the Future, </w:t>
      </w:r>
      <w:r w:rsidRPr="0050212D">
        <w:t>(2014), accessed at www.unfpa.org/sites/default/files/pub-pdf/EN-SWOP14-Report_FINAL-web.pdf.</w:t>
      </w:r>
    </w:p>
  </w:endnote>
  <w:endnote w:id="2">
    <w:p w14:paraId="0CD1F511" w14:textId="4A0BF7B9" w:rsidR="00043A14" w:rsidRPr="0050212D" w:rsidRDefault="00043A14" w:rsidP="0050212D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50212D">
        <w:rPr>
          <w:rStyle w:val="EndnoteReference"/>
          <w:b w:val="0"/>
          <w:sz w:val="20"/>
          <w:szCs w:val="20"/>
        </w:rPr>
        <w:endnoteRef/>
      </w:r>
      <w:r w:rsidRPr="0050212D">
        <w:rPr>
          <w:b w:val="0"/>
          <w:sz w:val="20"/>
          <w:szCs w:val="20"/>
        </w:rPr>
        <w:t xml:space="preserve"> </w:t>
      </w:r>
      <w:r w:rsidR="004B72A3">
        <w:rPr>
          <w:b w:val="0"/>
          <w:sz w:val="20"/>
          <w:szCs w:val="20"/>
        </w:rPr>
        <w:t xml:space="preserve">Noticias </w:t>
      </w:r>
      <w:r w:rsidRPr="0050212D">
        <w:rPr>
          <w:b w:val="0"/>
          <w:sz w:val="20"/>
          <w:szCs w:val="20"/>
        </w:rPr>
        <w:t>BBC, “</w:t>
      </w:r>
      <w:r w:rsidRPr="0050212D">
        <w:rPr>
          <w:b w:val="0"/>
          <w:color w:val="1E1E1E"/>
          <w:sz w:val="20"/>
          <w:szCs w:val="20"/>
        </w:rPr>
        <w:t>Why Ethiopian Women Are Having Fewer Children Than Their Mothers,” (Nov</w:t>
      </w:r>
      <w:r w:rsidR="006B6F50">
        <w:rPr>
          <w:b w:val="0"/>
          <w:color w:val="1E1E1E"/>
          <w:sz w:val="20"/>
          <w:szCs w:val="20"/>
        </w:rPr>
        <w:t>iembre</w:t>
      </w:r>
      <w:r w:rsidRPr="0050212D">
        <w:rPr>
          <w:b w:val="0"/>
          <w:color w:val="1E1E1E"/>
          <w:sz w:val="20"/>
          <w:szCs w:val="20"/>
        </w:rPr>
        <w:t xml:space="preserve"> 6, 2015). </w:t>
      </w:r>
    </w:p>
  </w:endnote>
  <w:endnote w:id="3">
    <w:p w14:paraId="6DB353D5" w14:textId="4D585E47" w:rsidR="00043A14" w:rsidRPr="0050212D" w:rsidRDefault="00043A14" w:rsidP="0050212D">
      <w:pPr>
        <w:pStyle w:val="Heading1"/>
        <w:spacing w:before="0" w:beforeAutospacing="0" w:after="0" w:afterAutospacing="0"/>
        <w:rPr>
          <w:b w:val="0"/>
          <w:bCs w:val="0"/>
          <w:color w:val="717174"/>
          <w:sz w:val="20"/>
          <w:szCs w:val="20"/>
        </w:rPr>
      </w:pPr>
      <w:r w:rsidRPr="0050212D">
        <w:rPr>
          <w:rStyle w:val="EndnoteReference"/>
          <w:sz w:val="20"/>
          <w:szCs w:val="20"/>
        </w:rPr>
        <w:endnoteRef/>
      </w:r>
      <w:r w:rsidRPr="0050212D">
        <w:rPr>
          <w:sz w:val="20"/>
          <w:szCs w:val="20"/>
        </w:rPr>
        <w:t xml:space="preserve"> </w:t>
      </w:r>
      <w:r w:rsidRPr="0050212D">
        <w:rPr>
          <w:b w:val="0"/>
          <w:bCs w:val="0"/>
          <w:sz w:val="20"/>
          <w:szCs w:val="20"/>
        </w:rPr>
        <w:t>Charles Teller and Tesfayi Gebreselassie, “Religious, Ethnic, and Regional Factors of High Fertility in Ethiopia,” (Washington, DC: Population Reference Bureau, 2009).</w:t>
      </w:r>
    </w:p>
  </w:endnote>
  <w:endnote w:id="4">
    <w:p w14:paraId="13A3F73C" w14:textId="539BAF9A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</w:t>
      </w:r>
      <w:r w:rsidR="006B6F50">
        <w:t>FPNU</w:t>
      </w:r>
      <w:r w:rsidRPr="0050212D">
        <w:t xml:space="preserve">, </w:t>
      </w:r>
      <w:r w:rsidRPr="0050212D">
        <w:rPr>
          <w:i/>
        </w:rPr>
        <w:t xml:space="preserve">The Power of 1.8 Billion, </w:t>
      </w:r>
      <w:r w:rsidRPr="0050212D">
        <w:t xml:space="preserve">2014. </w:t>
      </w:r>
    </w:p>
  </w:endnote>
  <w:endnote w:id="5">
    <w:p w14:paraId="14507F28" w14:textId="57EEA5A1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M. K. Baldwin &amp; A. B. Edelman, “The Effect of Long-Acting Reversible Contraception on Rapid Repeat Pregnancy in Adolescents: A Review,” </w:t>
      </w:r>
      <w:r w:rsidRPr="0050212D">
        <w:rPr>
          <w:i/>
        </w:rPr>
        <w:t>Journal of Adolescent Health</w:t>
      </w:r>
      <w:r w:rsidRPr="0050212D">
        <w:t xml:space="preserve"> 52, no. 4 (2013): S47-S53. </w:t>
      </w:r>
    </w:p>
  </w:endnote>
  <w:endnote w:id="6">
    <w:p w14:paraId="6F2AEA82" w14:textId="36889F46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I.H. Shah and E. Ahman, “Unsafe Abortion Differentials in 2008 by Age and Developing Country Region: High Burden Among Young Women,” </w:t>
      </w:r>
      <w:r w:rsidRPr="0050212D">
        <w:rPr>
          <w:i/>
        </w:rPr>
        <w:t>Reproductive Health Matters</w:t>
      </w:r>
      <w:r w:rsidRPr="0050212D">
        <w:t xml:space="preserve"> 20, no. 39 (2012): 1-6. </w:t>
      </w:r>
    </w:p>
  </w:endnote>
  <w:endnote w:id="7">
    <w:p w14:paraId="53A3BEB4" w14:textId="068F0BBC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John Ross, Jill Keesbury, and Karen Hardee, “Trends in the Contraceptive Method Mix in Low- and Middle-Income Countries: Analysis Using a New ‘Average Deviation’ Measure,” </w:t>
      </w:r>
      <w:r w:rsidRPr="0050212D">
        <w:rPr>
          <w:i/>
        </w:rPr>
        <w:t>Global Health: Science and Practice</w:t>
      </w:r>
      <w:r w:rsidRPr="0050212D">
        <w:t xml:space="preserve"> 3, no. 1 (2015).</w:t>
      </w:r>
    </w:p>
  </w:endnote>
  <w:endnote w:id="8">
    <w:p w14:paraId="4BD7E01F" w14:textId="5B72DEE9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CB Polis et al., “Contraceptive Failure Rates in the Developing World: An Analysis of Demographic and Health Survey Data in 43 Countries,” (New York: Guttmacher Institute, 2016); C. McNicholas et al., “The Contraceptive CHOICE Project Round Up: What We Did and What We Learned,” </w:t>
      </w:r>
      <w:r w:rsidRPr="0050212D">
        <w:rPr>
          <w:i/>
        </w:rPr>
        <w:t xml:space="preserve">Clin Obstet Gynecol </w:t>
      </w:r>
      <w:r w:rsidRPr="0050212D">
        <w:t xml:space="preserve"> 57, no. 4 (2014): 635-643. </w:t>
      </w:r>
    </w:p>
  </w:endnote>
  <w:endnote w:id="9">
    <w:p w14:paraId="33BDF235" w14:textId="71041123" w:rsidR="00043A14" w:rsidRPr="002F0177" w:rsidRDefault="00043A14" w:rsidP="00E26148">
      <w:pPr>
        <w:pStyle w:val="EndnoteText"/>
        <w:rPr>
          <w:lang w:val="es-NI"/>
        </w:rPr>
      </w:pPr>
      <w:r w:rsidRPr="0050212D">
        <w:rPr>
          <w:rStyle w:val="EndnoteReference"/>
        </w:rPr>
        <w:endnoteRef/>
      </w:r>
      <w:r w:rsidRPr="002F0177">
        <w:rPr>
          <w:lang w:val="es-NI"/>
        </w:rPr>
        <w:t xml:space="preserve"> </w:t>
      </w:r>
      <w:r w:rsidR="00E17196" w:rsidRPr="002F0177">
        <w:rPr>
          <w:lang w:val="es-NI"/>
        </w:rPr>
        <w:t>Organización Mundial de la Salud</w:t>
      </w:r>
      <w:r w:rsidRPr="002F0177">
        <w:rPr>
          <w:lang w:val="es-NI"/>
        </w:rPr>
        <w:t xml:space="preserve"> (</w:t>
      </w:r>
      <w:r w:rsidR="00E17196" w:rsidRPr="002F0177">
        <w:rPr>
          <w:lang w:val="es-NI"/>
        </w:rPr>
        <w:t>OMS)</w:t>
      </w:r>
      <w:r w:rsidRPr="002F0177">
        <w:rPr>
          <w:lang w:val="es-NI"/>
        </w:rPr>
        <w:t xml:space="preserve">, </w:t>
      </w:r>
      <w:r w:rsidRPr="002F0177">
        <w:rPr>
          <w:i/>
          <w:lang w:val="es-NI"/>
        </w:rPr>
        <w:t>Medical Eligibility Criteria Wheel for Contraceptive Use</w:t>
      </w:r>
      <w:r w:rsidRPr="002F0177">
        <w:rPr>
          <w:lang w:val="es-NI"/>
        </w:rPr>
        <w:t xml:space="preserve"> (G</w:t>
      </w:r>
      <w:r w:rsidR="00290CD5" w:rsidRPr="002F0177">
        <w:rPr>
          <w:lang w:val="es-NI"/>
        </w:rPr>
        <w:t>inebr</w:t>
      </w:r>
      <w:r w:rsidR="002F0177" w:rsidRPr="002F0177">
        <w:rPr>
          <w:lang w:val="es-NI"/>
        </w:rPr>
        <w:t>a</w:t>
      </w:r>
      <w:r w:rsidRPr="002F0177">
        <w:rPr>
          <w:lang w:val="es-NI"/>
        </w:rPr>
        <w:t xml:space="preserve">: </w:t>
      </w:r>
      <w:r w:rsidR="000022CF" w:rsidRPr="002F0177">
        <w:rPr>
          <w:lang w:val="es-NI"/>
        </w:rPr>
        <w:t>OMS</w:t>
      </w:r>
      <w:r w:rsidRPr="002F0177">
        <w:rPr>
          <w:lang w:val="es-NI"/>
        </w:rPr>
        <w:t xml:space="preserve">, 2015). </w:t>
      </w:r>
    </w:p>
  </w:endnote>
  <w:endnote w:id="10">
    <w:p w14:paraId="300E4224" w14:textId="65C214D8" w:rsidR="00043A14" w:rsidRPr="0050212D" w:rsidRDefault="00043A14" w:rsidP="00297BA5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Evidence 2 Action (E2A) Project, “Testing a Service-Delivery Model for Offering Long-Acting Reversible Contraceptive Methods to Youth in Ethiopia,” (A</w:t>
      </w:r>
      <w:r w:rsidR="002F0177">
        <w:t>gosto</w:t>
      </w:r>
      <w:r w:rsidRPr="0050212D">
        <w:t xml:space="preserve"> 2015);</w:t>
      </w:r>
      <w:r w:rsidR="00F22FE2">
        <w:t xml:space="preserve"> Agencia </w:t>
      </w:r>
      <w:r w:rsidRPr="0050212D">
        <w:t xml:space="preserve">Central </w:t>
      </w:r>
      <w:r w:rsidR="00F22FE2">
        <w:t xml:space="preserve">de </w:t>
      </w:r>
      <w:r w:rsidRPr="0050212D">
        <w:t>Intel</w:t>
      </w:r>
      <w:r w:rsidR="00F22FE2">
        <w:t>igencia</w:t>
      </w:r>
      <w:r w:rsidRPr="0050212D">
        <w:t xml:space="preserve">, “The World Factbook,” </w:t>
      </w:r>
      <w:r w:rsidR="008943C0">
        <w:t xml:space="preserve">accesar en </w:t>
      </w:r>
      <w:r w:rsidRPr="0050212D">
        <w:t xml:space="preserve">at </w:t>
      </w:r>
      <w:hyperlink r:id="rId1" w:history="1">
        <w:r w:rsidRPr="0050212D">
          <w:rPr>
            <w:rStyle w:val="Hyperlink"/>
          </w:rPr>
          <w:t>https://www.cia.gov/library/publications/the-world-factbook/geos/et.html</w:t>
        </w:r>
      </w:hyperlink>
      <w:r w:rsidRPr="0050212D">
        <w:t xml:space="preserve">, </w:t>
      </w:r>
      <w:r w:rsidR="008943C0">
        <w:t>el 20 de julio</w:t>
      </w:r>
      <w:r w:rsidRPr="0050212D">
        <w:t>, 2015.</w:t>
      </w:r>
    </w:p>
  </w:endnote>
  <w:endnote w:id="11">
    <w:p w14:paraId="12A0CAD1" w14:textId="54A3D084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Ethiopia Mini Demographic and Health Survey 2014, (Addis Ababa, Ethiopia: Ethiopia Central Statistical Agency, 2014).</w:t>
      </w:r>
    </w:p>
  </w:endnote>
  <w:endnote w:id="12">
    <w:p w14:paraId="3D917018" w14:textId="493CBB64" w:rsidR="00043A14" w:rsidRPr="0050212D" w:rsidRDefault="00043A14" w:rsidP="00E26148">
      <w:pPr>
        <w:pStyle w:val="EndnoteText"/>
      </w:pPr>
      <w:r w:rsidRPr="0050212D">
        <w:rPr>
          <w:rStyle w:val="EndnoteReference"/>
        </w:rPr>
        <w:endnoteRef/>
      </w:r>
      <w:r w:rsidRPr="0050212D">
        <w:t xml:space="preserve"> E2A Project, A</w:t>
      </w:r>
      <w:r w:rsidR="008943C0">
        <w:t>gosto</w:t>
      </w:r>
      <w:r w:rsidRPr="0050212D">
        <w:t xml:space="preserve"> </w:t>
      </w:r>
      <w:r w:rsidRPr="00E11C70">
        <w:t>2015.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3983E" w14:textId="77777777" w:rsidR="00366441" w:rsidRDefault="00366441" w:rsidP="007F7D16">
      <w:pPr>
        <w:spacing w:after="0" w:line="240" w:lineRule="auto"/>
      </w:pPr>
      <w:r>
        <w:separator/>
      </w:r>
    </w:p>
  </w:footnote>
  <w:footnote w:type="continuationSeparator" w:id="0">
    <w:p w14:paraId="4557030A" w14:textId="77777777" w:rsidR="00366441" w:rsidRDefault="00366441" w:rsidP="007F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85292" w14:textId="77777777" w:rsidR="002F58FA" w:rsidRDefault="002F58FA" w:rsidP="002F58FA">
    <w:pPr>
      <w:spacing w:after="0"/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0100D2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55E456DF" w14:textId="77777777" w:rsidR="002F58FA" w:rsidRPr="008B28DE" w:rsidRDefault="002F58FA" w:rsidP="002F58FA">
    <w:pPr>
      <w:spacing w:after="0"/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27ED468B" w14:textId="0DB4D9C8" w:rsidR="00043A14" w:rsidRPr="007F28B2" w:rsidRDefault="00043A14" w:rsidP="002F58FA">
    <w:pPr>
      <w:pStyle w:val="Header"/>
      <w:pBdr>
        <w:bottom w:val="single" w:sz="4" w:space="1" w:color="auto"/>
      </w:pBdr>
      <w:spacing w:after="240"/>
      <w:jc w:val="right"/>
      <w:rPr>
        <w:rFonts w:ascii="Arial" w:hAnsi="Arial" w:cs="Arial"/>
        <w:sz w:val="28"/>
        <w:szCs w:val="28"/>
        <w:lang w:val="es-NI"/>
      </w:rPr>
    </w:pPr>
    <w:r w:rsidRPr="007F28B2">
      <w:rPr>
        <w:rFonts w:ascii="Arial" w:hAnsi="Arial" w:cs="Arial"/>
        <w:sz w:val="28"/>
        <w:szCs w:val="28"/>
        <w:lang w:val="es-NI"/>
      </w:rPr>
      <w:t>ESTUDIO</w:t>
    </w:r>
    <w:r w:rsidR="009916BD" w:rsidRPr="009916BD">
      <w:rPr>
        <w:rFonts w:ascii="Arial" w:hAnsi="Arial" w:cs="Arial"/>
        <w:sz w:val="28"/>
        <w:szCs w:val="28"/>
        <w:lang w:val="es-NI"/>
      </w:rPr>
      <w:t xml:space="preserve"> </w:t>
    </w:r>
    <w:r w:rsidR="009916BD" w:rsidRPr="007F28B2">
      <w:rPr>
        <w:rFonts w:ascii="Arial" w:hAnsi="Arial" w:cs="Arial"/>
        <w:sz w:val="28"/>
        <w:szCs w:val="28"/>
        <w:lang w:val="es-NI"/>
      </w:rPr>
      <w:t>DE</w:t>
    </w:r>
    <w:r w:rsidR="009916BD" w:rsidRPr="009916BD">
      <w:rPr>
        <w:rFonts w:ascii="Arial" w:hAnsi="Arial" w:cs="Arial"/>
        <w:sz w:val="28"/>
        <w:szCs w:val="28"/>
        <w:lang w:val="es-NI"/>
      </w:rPr>
      <w:t xml:space="preserve"> </w:t>
    </w:r>
    <w:r w:rsidR="009916BD" w:rsidRPr="007F28B2">
      <w:rPr>
        <w:rFonts w:ascii="Arial" w:hAnsi="Arial" w:cs="Arial"/>
        <w:sz w:val="28"/>
        <w:szCs w:val="28"/>
        <w:lang w:val="es-NI"/>
      </w:rPr>
      <w:t>CASO</w:t>
    </w:r>
    <w:r w:rsidRPr="007F28B2">
      <w:rPr>
        <w:rFonts w:ascii="Arial" w:hAnsi="Arial" w:cs="Arial"/>
        <w:sz w:val="28"/>
        <w:szCs w:val="28"/>
        <w:lang w:val="es-NI"/>
      </w:rPr>
      <w:t>: LA JUVENTUD Y LOS LARC EN ETIOPÍA (SC6E)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B0EA1"/>
    <w:multiLevelType w:val="hybridMultilevel"/>
    <w:tmpl w:val="CB645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11628"/>
    <w:multiLevelType w:val="hybridMultilevel"/>
    <w:tmpl w:val="84761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10D4E"/>
    <w:multiLevelType w:val="hybridMultilevel"/>
    <w:tmpl w:val="A64662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B70A4"/>
    <w:multiLevelType w:val="hybridMultilevel"/>
    <w:tmpl w:val="418AC03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67632151"/>
    <w:multiLevelType w:val="hybridMultilevel"/>
    <w:tmpl w:val="B742F7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E0F1C"/>
    <w:multiLevelType w:val="hybridMultilevel"/>
    <w:tmpl w:val="2A7E9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77F79"/>
    <w:multiLevelType w:val="hybridMultilevel"/>
    <w:tmpl w:val="1018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C78BA"/>
    <w:multiLevelType w:val="hybridMultilevel"/>
    <w:tmpl w:val="F6A01214"/>
    <w:lvl w:ilvl="0" w:tplc="AEA2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510FD"/>
    <w:multiLevelType w:val="hybridMultilevel"/>
    <w:tmpl w:val="F6A01214"/>
    <w:lvl w:ilvl="0" w:tplc="AEA2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16"/>
    <w:rsid w:val="00000427"/>
    <w:rsid w:val="000009BD"/>
    <w:rsid w:val="0000120B"/>
    <w:rsid w:val="00001EA0"/>
    <w:rsid w:val="000022A9"/>
    <w:rsid w:val="000022CF"/>
    <w:rsid w:val="00006CAF"/>
    <w:rsid w:val="000077CF"/>
    <w:rsid w:val="000123F8"/>
    <w:rsid w:val="00017A7A"/>
    <w:rsid w:val="00032433"/>
    <w:rsid w:val="000413AA"/>
    <w:rsid w:val="000413BE"/>
    <w:rsid w:val="0004251F"/>
    <w:rsid w:val="00043A14"/>
    <w:rsid w:val="000458A5"/>
    <w:rsid w:val="00050D6C"/>
    <w:rsid w:val="00050DE3"/>
    <w:rsid w:val="000533B8"/>
    <w:rsid w:val="0005411A"/>
    <w:rsid w:val="000551A9"/>
    <w:rsid w:val="00063616"/>
    <w:rsid w:val="0006440D"/>
    <w:rsid w:val="00067D04"/>
    <w:rsid w:val="000779D4"/>
    <w:rsid w:val="000908B4"/>
    <w:rsid w:val="00095004"/>
    <w:rsid w:val="000A2E78"/>
    <w:rsid w:val="000B1E90"/>
    <w:rsid w:val="000C161E"/>
    <w:rsid w:val="000C6706"/>
    <w:rsid w:val="000D084D"/>
    <w:rsid w:val="000D61A4"/>
    <w:rsid w:val="000D62F5"/>
    <w:rsid w:val="000D6CCE"/>
    <w:rsid w:val="000E1F06"/>
    <w:rsid w:val="000E2A17"/>
    <w:rsid w:val="000E5CCF"/>
    <w:rsid w:val="000E74A0"/>
    <w:rsid w:val="000E7DCE"/>
    <w:rsid w:val="000F4DDA"/>
    <w:rsid w:val="000F5706"/>
    <w:rsid w:val="000F5F3A"/>
    <w:rsid w:val="00100350"/>
    <w:rsid w:val="00102D68"/>
    <w:rsid w:val="001219B7"/>
    <w:rsid w:val="00124A3B"/>
    <w:rsid w:val="00124EEC"/>
    <w:rsid w:val="00125ED5"/>
    <w:rsid w:val="00132B95"/>
    <w:rsid w:val="0014141B"/>
    <w:rsid w:val="00145594"/>
    <w:rsid w:val="00151BA8"/>
    <w:rsid w:val="00155D0D"/>
    <w:rsid w:val="001608C7"/>
    <w:rsid w:val="001660B1"/>
    <w:rsid w:val="00167417"/>
    <w:rsid w:val="00170297"/>
    <w:rsid w:val="00172018"/>
    <w:rsid w:val="001771E4"/>
    <w:rsid w:val="00180F09"/>
    <w:rsid w:val="001811C4"/>
    <w:rsid w:val="00185A3D"/>
    <w:rsid w:val="001915E3"/>
    <w:rsid w:val="0019414D"/>
    <w:rsid w:val="00197BD2"/>
    <w:rsid w:val="001A5944"/>
    <w:rsid w:val="001B4154"/>
    <w:rsid w:val="001B50E1"/>
    <w:rsid w:val="001E730A"/>
    <w:rsid w:val="001F024A"/>
    <w:rsid w:val="001F4FE4"/>
    <w:rsid w:val="00202467"/>
    <w:rsid w:val="00207971"/>
    <w:rsid w:val="00215CAD"/>
    <w:rsid w:val="00223477"/>
    <w:rsid w:val="00236CEE"/>
    <w:rsid w:val="00241293"/>
    <w:rsid w:val="00241318"/>
    <w:rsid w:val="00250A2A"/>
    <w:rsid w:val="00251105"/>
    <w:rsid w:val="00272891"/>
    <w:rsid w:val="00273ACB"/>
    <w:rsid w:val="002743AE"/>
    <w:rsid w:val="00276749"/>
    <w:rsid w:val="002778D9"/>
    <w:rsid w:val="002859DB"/>
    <w:rsid w:val="00290CD5"/>
    <w:rsid w:val="00293D02"/>
    <w:rsid w:val="00293F34"/>
    <w:rsid w:val="00297BA5"/>
    <w:rsid w:val="002A4408"/>
    <w:rsid w:val="002A4D4F"/>
    <w:rsid w:val="002B084C"/>
    <w:rsid w:val="002B4164"/>
    <w:rsid w:val="002C0C4A"/>
    <w:rsid w:val="002C0EEA"/>
    <w:rsid w:val="002C25C6"/>
    <w:rsid w:val="002C68C5"/>
    <w:rsid w:val="002C6CDD"/>
    <w:rsid w:val="002D4C75"/>
    <w:rsid w:val="002D5775"/>
    <w:rsid w:val="002D7F06"/>
    <w:rsid w:val="002E0A24"/>
    <w:rsid w:val="002E4368"/>
    <w:rsid w:val="002E553D"/>
    <w:rsid w:val="002F0177"/>
    <w:rsid w:val="002F5413"/>
    <w:rsid w:val="002F58FA"/>
    <w:rsid w:val="002F6F44"/>
    <w:rsid w:val="002F7373"/>
    <w:rsid w:val="00300DE5"/>
    <w:rsid w:val="00305D58"/>
    <w:rsid w:val="00306872"/>
    <w:rsid w:val="00310438"/>
    <w:rsid w:val="003113EF"/>
    <w:rsid w:val="00313CF1"/>
    <w:rsid w:val="0031602C"/>
    <w:rsid w:val="00316E19"/>
    <w:rsid w:val="0031790A"/>
    <w:rsid w:val="00320C57"/>
    <w:rsid w:val="003301FB"/>
    <w:rsid w:val="00332425"/>
    <w:rsid w:val="00332CA8"/>
    <w:rsid w:val="003334CA"/>
    <w:rsid w:val="00335EE3"/>
    <w:rsid w:val="00336CEF"/>
    <w:rsid w:val="00344BAE"/>
    <w:rsid w:val="0034523D"/>
    <w:rsid w:val="00346A4C"/>
    <w:rsid w:val="00350497"/>
    <w:rsid w:val="0035250B"/>
    <w:rsid w:val="00352A42"/>
    <w:rsid w:val="00353DB8"/>
    <w:rsid w:val="00355FF9"/>
    <w:rsid w:val="00366355"/>
    <w:rsid w:val="00366441"/>
    <w:rsid w:val="00372EA2"/>
    <w:rsid w:val="00375CE6"/>
    <w:rsid w:val="00390DC5"/>
    <w:rsid w:val="003A0C42"/>
    <w:rsid w:val="003A5023"/>
    <w:rsid w:val="003C4A6E"/>
    <w:rsid w:val="003D42C4"/>
    <w:rsid w:val="003E013D"/>
    <w:rsid w:val="003F4F54"/>
    <w:rsid w:val="003F6EFD"/>
    <w:rsid w:val="00403AA6"/>
    <w:rsid w:val="0040441A"/>
    <w:rsid w:val="00410EDE"/>
    <w:rsid w:val="0041129F"/>
    <w:rsid w:val="004164E5"/>
    <w:rsid w:val="00425798"/>
    <w:rsid w:val="004279D0"/>
    <w:rsid w:val="00427E37"/>
    <w:rsid w:val="0043096E"/>
    <w:rsid w:val="00434D8F"/>
    <w:rsid w:val="004353EF"/>
    <w:rsid w:val="004400F8"/>
    <w:rsid w:val="0044208D"/>
    <w:rsid w:val="00446767"/>
    <w:rsid w:val="00452FA9"/>
    <w:rsid w:val="00453468"/>
    <w:rsid w:val="00461919"/>
    <w:rsid w:val="00461CFB"/>
    <w:rsid w:val="00462AC9"/>
    <w:rsid w:val="00472DA9"/>
    <w:rsid w:val="00474F35"/>
    <w:rsid w:val="00477AB1"/>
    <w:rsid w:val="00483F80"/>
    <w:rsid w:val="0049325A"/>
    <w:rsid w:val="004941B6"/>
    <w:rsid w:val="004A4F0C"/>
    <w:rsid w:val="004B3F9A"/>
    <w:rsid w:val="004B72A3"/>
    <w:rsid w:val="004C1A5A"/>
    <w:rsid w:val="004D054E"/>
    <w:rsid w:val="004D19C2"/>
    <w:rsid w:val="004D32BE"/>
    <w:rsid w:val="004E5C90"/>
    <w:rsid w:val="004E7906"/>
    <w:rsid w:val="004E7D74"/>
    <w:rsid w:val="004F6C85"/>
    <w:rsid w:val="0050212D"/>
    <w:rsid w:val="005027EB"/>
    <w:rsid w:val="00504D52"/>
    <w:rsid w:val="00507B1E"/>
    <w:rsid w:val="005132EB"/>
    <w:rsid w:val="00521C0B"/>
    <w:rsid w:val="005273D3"/>
    <w:rsid w:val="00527F8E"/>
    <w:rsid w:val="00530C27"/>
    <w:rsid w:val="00532D6C"/>
    <w:rsid w:val="00533206"/>
    <w:rsid w:val="00540269"/>
    <w:rsid w:val="00545265"/>
    <w:rsid w:val="00553256"/>
    <w:rsid w:val="00553510"/>
    <w:rsid w:val="005556C2"/>
    <w:rsid w:val="00555B8E"/>
    <w:rsid w:val="0056600B"/>
    <w:rsid w:val="005706CE"/>
    <w:rsid w:val="00574DD7"/>
    <w:rsid w:val="00575630"/>
    <w:rsid w:val="0058124C"/>
    <w:rsid w:val="00590D49"/>
    <w:rsid w:val="00595DDB"/>
    <w:rsid w:val="00595E62"/>
    <w:rsid w:val="005A0C31"/>
    <w:rsid w:val="005A1923"/>
    <w:rsid w:val="005A6ADC"/>
    <w:rsid w:val="005A735B"/>
    <w:rsid w:val="005A75CD"/>
    <w:rsid w:val="005B02F8"/>
    <w:rsid w:val="005B6754"/>
    <w:rsid w:val="005C71C6"/>
    <w:rsid w:val="005D31EE"/>
    <w:rsid w:val="005D49AF"/>
    <w:rsid w:val="005D58B2"/>
    <w:rsid w:val="005E2956"/>
    <w:rsid w:val="005E2AFA"/>
    <w:rsid w:val="005E33E4"/>
    <w:rsid w:val="005F6D5B"/>
    <w:rsid w:val="0060091F"/>
    <w:rsid w:val="00602828"/>
    <w:rsid w:val="00603F10"/>
    <w:rsid w:val="006061E6"/>
    <w:rsid w:val="0061035D"/>
    <w:rsid w:val="00613E91"/>
    <w:rsid w:val="00613FEB"/>
    <w:rsid w:val="006178F9"/>
    <w:rsid w:val="00621887"/>
    <w:rsid w:val="006307F1"/>
    <w:rsid w:val="00643241"/>
    <w:rsid w:val="0064607E"/>
    <w:rsid w:val="006545B1"/>
    <w:rsid w:val="0066150C"/>
    <w:rsid w:val="00663383"/>
    <w:rsid w:val="00667664"/>
    <w:rsid w:val="00667669"/>
    <w:rsid w:val="006704FA"/>
    <w:rsid w:val="00675E5F"/>
    <w:rsid w:val="0068065A"/>
    <w:rsid w:val="00681C94"/>
    <w:rsid w:val="00682782"/>
    <w:rsid w:val="006903CD"/>
    <w:rsid w:val="00691D65"/>
    <w:rsid w:val="00692F1F"/>
    <w:rsid w:val="00697196"/>
    <w:rsid w:val="00697523"/>
    <w:rsid w:val="00697660"/>
    <w:rsid w:val="006A1392"/>
    <w:rsid w:val="006A6355"/>
    <w:rsid w:val="006B2333"/>
    <w:rsid w:val="006B37EA"/>
    <w:rsid w:val="006B6F50"/>
    <w:rsid w:val="006C135B"/>
    <w:rsid w:val="006C149A"/>
    <w:rsid w:val="006C5E32"/>
    <w:rsid w:val="006C75F1"/>
    <w:rsid w:val="006D2BD4"/>
    <w:rsid w:val="006E3ABA"/>
    <w:rsid w:val="006E6507"/>
    <w:rsid w:val="006E6BAD"/>
    <w:rsid w:val="006E6F79"/>
    <w:rsid w:val="006F360C"/>
    <w:rsid w:val="006F5AA0"/>
    <w:rsid w:val="00701B70"/>
    <w:rsid w:val="007034C1"/>
    <w:rsid w:val="00705911"/>
    <w:rsid w:val="0070668C"/>
    <w:rsid w:val="007111FF"/>
    <w:rsid w:val="007155B2"/>
    <w:rsid w:val="0071618F"/>
    <w:rsid w:val="00716457"/>
    <w:rsid w:val="00716990"/>
    <w:rsid w:val="00723094"/>
    <w:rsid w:val="007239FC"/>
    <w:rsid w:val="00726750"/>
    <w:rsid w:val="0072761A"/>
    <w:rsid w:val="007309B6"/>
    <w:rsid w:val="00736153"/>
    <w:rsid w:val="007409C3"/>
    <w:rsid w:val="00742C63"/>
    <w:rsid w:val="0075044E"/>
    <w:rsid w:val="00752073"/>
    <w:rsid w:val="0075207C"/>
    <w:rsid w:val="00754175"/>
    <w:rsid w:val="00755822"/>
    <w:rsid w:val="00760D27"/>
    <w:rsid w:val="007676A8"/>
    <w:rsid w:val="007708E1"/>
    <w:rsid w:val="00771BF3"/>
    <w:rsid w:val="00771EEF"/>
    <w:rsid w:val="00773C00"/>
    <w:rsid w:val="007743A4"/>
    <w:rsid w:val="00774E7C"/>
    <w:rsid w:val="0078617F"/>
    <w:rsid w:val="00787BE4"/>
    <w:rsid w:val="00794934"/>
    <w:rsid w:val="00794D7B"/>
    <w:rsid w:val="00795404"/>
    <w:rsid w:val="007A679A"/>
    <w:rsid w:val="007B7557"/>
    <w:rsid w:val="007D69FC"/>
    <w:rsid w:val="007D717C"/>
    <w:rsid w:val="007F28B2"/>
    <w:rsid w:val="007F7D16"/>
    <w:rsid w:val="00804D50"/>
    <w:rsid w:val="00806A6B"/>
    <w:rsid w:val="00806E8E"/>
    <w:rsid w:val="008075FB"/>
    <w:rsid w:val="00812189"/>
    <w:rsid w:val="00814D3B"/>
    <w:rsid w:val="0081685B"/>
    <w:rsid w:val="008174D2"/>
    <w:rsid w:val="00842205"/>
    <w:rsid w:val="00844915"/>
    <w:rsid w:val="00844B38"/>
    <w:rsid w:val="00845E75"/>
    <w:rsid w:val="00846CE4"/>
    <w:rsid w:val="00853B08"/>
    <w:rsid w:val="0088057A"/>
    <w:rsid w:val="0088489A"/>
    <w:rsid w:val="00886496"/>
    <w:rsid w:val="008912B1"/>
    <w:rsid w:val="008943C0"/>
    <w:rsid w:val="008A2D7D"/>
    <w:rsid w:val="008A61CB"/>
    <w:rsid w:val="008A689D"/>
    <w:rsid w:val="008B33DB"/>
    <w:rsid w:val="008C645A"/>
    <w:rsid w:val="008C6C5A"/>
    <w:rsid w:val="008D0B24"/>
    <w:rsid w:val="008D5462"/>
    <w:rsid w:val="008D594D"/>
    <w:rsid w:val="008D6127"/>
    <w:rsid w:val="008F1512"/>
    <w:rsid w:val="008F2166"/>
    <w:rsid w:val="008F2962"/>
    <w:rsid w:val="008F463A"/>
    <w:rsid w:val="009040D1"/>
    <w:rsid w:val="00905C83"/>
    <w:rsid w:val="0090776C"/>
    <w:rsid w:val="009126C3"/>
    <w:rsid w:val="00914EB1"/>
    <w:rsid w:val="009204E0"/>
    <w:rsid w:val="00921848"/>
    <w:rsid w:val="00924757"/>
    <w:rsid w:val="0093489D"/>
    <w:rsid w:val="00935805"/>
    <w:rsid w:val="00940A68"/>
    <w:rsid w:val="0094277F"/>
    <w:rsid w:val="00944945"/>
    <w:rsid w:val="00946CB6"/>
    <w:rsid w:val="00947D11"/>
    <w:rsid w:val="00952300"/>
    <w:rsid w:val="009624F7"/>
    <w:rsid w:val="00962524"/>
    <w:rsid w:val="009627D6"/>
    <w:rsid w:val="0097123E"/>
    <w:rsid w:val="00976570"/>
    <w:rsid w:val="00985A95"/>
    <w:rsid w:val="009916BD"/>
    <w:rsid w:val="009A0D97"/>
    <w:rsid w:val="009A3DA3"/>
    <w:rsid w:val="009C0258"/>
    <w:rsid w:val="009C1E28"/>
    <w:rsid w:val="009C4A24"/>
    <w:rsid w:val="009C514C"/>
    <w:rsid w:val="009C792D"/>
    <w:rsid w:val="009C7FA1"/>
    <w:rsid w:val="009D53C2"/>
    <w:rsid w:val="009E3CBD"/>
    <w:rsid w:val="009E47C4"/>
    <w:rsid w:val="009E5294"/>
    <w:rsid w:val="009F2583"/>
    <w:rsid w:val="00A03549"/>
    <w:rsid w:val="00A15D21"/>
    <w:rsid w:val="00A17E09"/>
    <w:rsid w:val="00A20E06"/>
    <w:rsid w:val="00A22F3D"/>
    <w:rsid w:val="00A259AF"/>
    <w:rsid w:val="00A30EAB"/>
    <w:rsid w:val="00A34797"/>
    <w:rsid w:val="00A34F39"/>
    <w:rsid w:val="00A431F2"/>
    <w:rsid w:val="00A43FD8"/>
    <w:rsid w:val="00A54681"/>
    <w:rsid w:val="00A55B26"/>
    <w:rsid w:val="00A61D3A"/>
    <w:rsid w:val="00A63BE7"/>
    <w:rsid w:val="00A646C2"/>
    <w:rsid w:val="00A65A4D"/>
    <w:rsid w:val="00A73F37"/>
    <w:rsid w:val="00A81B1D"/>
    <w:rsid w:val="00A8371D"/>
    <w:rsid w:val="00A93507"/>
    <w:rsid w:val="00A93E97"/>
    <w:rsid w:val="00AA250F"/>
    <w:rsid w:val="00AD4074"/>
    <w:rsid w:val="00AD71C4"/>
    <w:rsid w:val="00AE3EF1"/>
    <w:rsid w:val="00AF1673"/>
    <w:rsid w:val="00AF3215"/>
    <w:rsid w:val="00AF3E2A"/>
    <w:rsid w:val="00B04874"/>
    <w:rsid w:val="00B06BBB"/>
    <w:rsid w:val="00B1157E"/>
    <w:rsid w:val="00B163E8"/>
    <w:rsid w:val="00B17A57"/>
    <w:rsid w:val="00B21691"/>
    <w:rsid w:val="00B2723C"/>
    <w:rsid w:val="00B3046B"/>
    <w:rsid w:val="00B311A9"/>
    <w:rsid w:val="00B343EA"/>
    <w:rsid w:val="00B345F1"/>
    <w:rsid w:val="00B35DEF"/>
    <w:rsid w:val="00B41CF3"/>
    <w:rsid w:val="00B4220C"/>
    <w:rsid w:val="00B45C1D"/>
    <w:rsid w:val="00B47274"/>
    <w:rsid w:val="00B5120A"/>
    <w:rsid w:val="00B5146D"/>
    <w:rsid w:val="00B572E6"/>
    <w:rsid w:val="00B63F95"/>
    <w:rsid w:val="00B64F21"/>
    <w:rsid w:val="00B65448"/>
    <w:rsid w:val="00B72C68"/>
    <w:rsid w:val="00B72DF8"/>
    <w:rsid w:val="00B758E6"/>
    <w:rsid w:val="00B80382"/>
    <w:rsid w:val="00B84A4E"/>
    <w:rsid w:val="00B84C48"/>
    <w:rsid w:val="00B87158"/>
    <w:rsid w:val="00B87201"/>
    <w:rsid w:val="00B90269"/>
    <w:rsid w:val="00B97D79"/>
    <w:rsid w:val="00BA0708"/>
    <w:rsid w:val="00BA141E"/>
    <w:rsid w:val="00BA2789"/>
    <w:rsid w:val="00BB68FC"/>
    <w:rsid w:val="00BC00AB"/>
    <w:rsid w:val="00BC5666"/>
    <w:rsid w:val="00BC6221"/>
    <w:rsid w:val="00BC7492"/>
    <w:rsid w:val="00BD136E"/>
    <w:rsid w:val="00BD76D1"/>
    <w:rsid w:val="00BD7FCB"/>
    <w:rsid w:val="00BE7B16"/>
    <w:rsid w:val="00BF28CE"/>
    <w:rsid w:val="00C01602"/>
    <w:rsid w:val="00C0168D"/>
    <w:rsid w:val="00C02C6E"/>
    <w:rsid w:val="00C04774"/>
    <w:rsid w:val="00C10949"/>
    <w:rsid w:val="00C1408B"/>
    <w:rsid w:val="00C21AD2"/>
    <w:rsid w:val="00C21D6F"/>
    <w:rsid w:val="00C36355"/>
    <w:rsid w:val="00C36F20"/>
    <w:rsid w:val="00C40B70"/>
    <w:rsid w:val="00C40C57"/>
    <w:rsid w:val="00C43814"/>
    <w:rsid w:val="00C523C7"/>
    <w:rsid w:val="00C634D8"/>
    <w:rsid w:val="00C7164B"/>
    <w:rsid w:val="00C72D46"/>
    <w:rsid w:val="00C7654C"/>
    <w:rsid w:val="00C801FE"/>
    <w:rsid w:val="00C9474A"/>
    <w:rsid w:val="00CA0577"/>
    <w:rsid w:val="00CA1B52"/>
    <w:rsid w:val="00CA27B1"/>
    <w:rsid w:val="00CA2CAC"/>
    <w:rsid w:val="00CA2D98"/>
    <w:rsid w:val="00CB2481"/>
    <w:rsid w:val="00CB3BA6"/>
    <w:rsid w:val="00CC098D"/>
    <w:rsid w:val="00CC0CC7"/>
    <w:rsid w:val="00CC3319"/>
    <w:rsid w:val="00CC3457"/>
    <w:rsid w:val="00CC4D87"/>
    <w:rsid w:val="00CD089F"/>
    <w:rsid w:val="00CD0D86"/>
    <w:rsid w:val="00CD7658"/>
    <w:rsid w:val="00CE5BBD"/>
    <w:rsid w:val="00CF1608"/>
    <w:rsid w:val="00CF7B14"/>
    <w:rsid w:val="00D02189"/>
    <w:rsid w:val="00D02BD1"/>
    <w:rsid w:val="00D049E0"/>
    <w:rsid w:val="00D067F5"/>
    <w:rsid w:val="00D13216"/>
    <w:rsid w:val="00D21066"/>
    <w:rsid w:val="00D23D7E"/>
    <w:rsid w:val="00D365C8"/>
    <w:rsid w:val="00D37A5E"/>
    <w:rsid w:val="00D438D5"/>
    <w:rsid w:val="00D4540C"/>
    <w:rsid w:val="00D45DBF"/>
    <w:rsid w:val="00D50E97"/>
    <w:rsid w:val="00D53836"/>
    <w:rsid w:val="00D5521B"/>
    <w:rsid w:val="00D56200"/>
    <w:rsid w:val="00D645CF"/>
    <w:rsid w:val="00D67C91"/>
    <w:rsid w:val="00D67EE7"/>
    <w:rsid w:val="00D752E2"/>
    <w:rsid w:val="00D936B0"/>
    <w:rsid w:val="00D97884"/>
    <w:rsid w:val="00DA10D4"/>
    <w:rsid w:val="00DA2716"/>
    <w:rsid w:val="00DA756A"/>
    <w:rsid w:val="00DB7AEC"/>
    <w:rsid w:val="00DC27D1"/>
    <w:rsid w:val="00DD07D2"/>
    <w:rsid w:val="00DD1EEA"/>
    <w:rsid w:val="00DD26EA"/>
    <w:rsid w:val="00DD2E48"/>
    <w:rsid w:val="00DD4DA1"/>
    <w:rsid w:val="00DE2FD6"/>
    <w:rsid w:val="00DE33F8"/>
    <w:rsid w:val="00DF261B"/>
    <w:rsid w:val="00DF353B"/>
    <w:rsid w:val="00DF3D3B"/>
    <w:rsid w:val="00DF4C6E"/>
    <w:rsid w:val="00E008C8"/>
    <w:rsid w:val="00E01171"/>
    <w:rsid w:val="00E02109"/>
    <w:rsid w:val="00E05572"/>
    <w:rsid w:val="00E11C70"/>
    <w:rsid w:val="00E17196"/>
    <w:rsid w:val="00E22C98"/>
    <w:rsid w:val="00E237C1"/>
    <w:rsid w:val="00E26148"/>
    <w:rsid w:val="00E31D16"/>
    <w:rsid w:val="00E500AF"/>
    <w:rsid w:val="00E561EE"/>
    <w:rsid w:val="00E64527"/>
    <w:rsid w:val="00E67B9A"/>
    <w:rsid w:val="00E7201B"/>
    <w:rsid w:val="00E8298B"/>
    <w:rsid w:val="00E834CD"/>
    <w:rsid w:val="00E8720F"/>
    <w:rsid w:val="00E92FDF"/>
    <w:rsid w:val="00E95F68"/>
    <w:rsid w:val="00E973FD"/>
    <w:rsid w:val="00EA2738"/>
    <w:rsid w:val="00EA5B1E"/>
    <w:rsid w:val="00EB28C7"/>
    <w:rsid w:val="00EB3190"/>
    <w:rsid w:val="00EB4361"/>
    <w:rsid w:val="00ED0F03"/>
    <w:rsid w:val="00ED13CF"/>
    <w:rsid w:val="00ED36E5"/>
    <w:rsid w:val="00EE04A0"/>
    <w:rsid w:val="00EE1F00"/>
    <w:rsid w:val="00EE3F73"/>
    <w:rsid w:val="00EE4B60"/>
    <w:rsid w:val="00EE6C6E"/>
    <w:rsid w:val="00EF07FF"/>
    <w:rsid w:val="00EF4019"/>
    <w:rsid w:val="00EF54EF"/>
    <w:rsid w:val="00EF5995"/>
    <w:rsid w:val="00EF5B75"/>
    <w:rsid w:val="00F01759"/>
    <w:rsid w:val="00F13DF4"/>
    <w:rsid w:val="00F14F1C"/>
    <w:rsid w:val="00F21719"/>
    <w:rsid w:val="00F22FE2"/>
    <w:rsid w:val="00F27FE8"/>
    <w:rsid w:val="00F30000"/>
    <w:rsid w:val="00F33C80"/>
    <w:rsid w:val="00F51A3E"/>
    <w:rsid w:val="00F56F91"/>
    <w:rsid w:val="00F607B2"/>
    <w:rsid w:val="00F62114"/>
    <w:rsid w:val="00F639DC"/>
    <w:rsid w:val="00F65123"/>
    <w:rsid w:val="00F67B77"/>
    <w:rsid w:val="00F7307E"/>
    <w:rsid w:val="00F74536"/>
    <w:rsid w:val="00F8270E"/>
    <w:rsid w:val="00F91F69"/>
    <w:rsid w:val="00FA06F2"/>
    <w:rsid w:val="00FA60E8"/>
    <w:rsid w:val="00FA6FE9"/>
    <w:rsid w:val="00FB06F5"/>
    <w:rsid w:val="00FB4C7E"/>
    <w:rsid w:val="00FB7310"/>
    <w:rsid w:val="00FC27D0"/>
    <w:rsid w:val="00FC2BDB"/>
    <w:rsid w:val="00FC534D"/>
    <w:rsid w:val="00FD1B3F"/>
    <w:rsid w:val="00FD2C92"/>
    <w:rsid w:val="00FE140F"/>
    <w:rsid w:val="00FE2B04"/>
    <w:rsid w:val="00FE77F3"/>
    <w:rsid w:val="00FF19A3"/>
    <w:rsid w:val="00FF2ACA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8EDC8"/>
  <w15:docId w15:val="{03219C46-D0B9-45AC-9853-B66F49D3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D16"/>
  </w:style>
  <w:style w:type="paragraph" w:styleId="Heading1">
    <w:name w:val="heading 1"/>
    <w:basedOn w:val="Normal"/>
    <w:link w:val="Heading1Char"/>
    <w:uiPriority w:val="9"/>
    <w:qFormat/>
    <w:rsid w:val="00502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2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D1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D16"/>
    <w:rPr>
      <w:i/>
      <w:iCs/>
    </w:rPr>
  </w:style>
  <w:style w:type="character" w:styleId="Strong">
    <w:name w:val="Strong"/>
    <w:basedOn w:val="DefaultParagraphFont"/>
    <w:uiPriority w:val="22"/>
    <w:qFormat/>
    <w:rsid w:val="007F7D16"/>
    <w:rPr>
      <w:b/>
      <w:bCs/>
    </w:rPr>
  </w:style>
  <w:style w:type="paragraph" w:styleId="NormalWeb">
    <w:name w:val="Normal (Web)"/>
    <w:basedOn w:val="Normal"/>
    <w:uiPriority w:val="99"/>
    <w:unhideWhenUsed/>
    <w:rsid w:val="007F7D1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8"/>
      <w:szCs w:val="18"/>
    </w:rPr>
  </w:style>
  <w:style w:type="paragraph" w:customStyle="1" w:styleId="little">
    <w:name w:val="little"/>
    <w:basedOn w:val="Normal"/>
    <w:rsid w:val="007F7D1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5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D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D16"/>
  </w:style>
  <w:style w:type="paragraph" w:styleId="Footer">
    <w:name w:val="footer"/>
    <w:basedOn w:val="Normal"/>
    <w:link w:val="FooterChar"/>
    <w:unhideWhenUsed/>
    <w:rsid w:val="007F7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D16"/>
  </w:style>
  <w:style w:type="paragraph" w:styleId="Title">
    <w:name w:val="Title"/>
    <w:basedOn w:val="Normal"/>
    <w:next w:val="Normal"/>
    <w:link w:val="TitleChar"/>
    <w:uiPriority w:val="10"/>
    <w:qFormat/>
    <w:rsid w:val="00CA27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7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7034C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B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B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BAD"/>
    <w:rPr>
      <w:vertAlign w:val="superscript"/>
    </w:rPr>
  </w:style>
  <w:style w:type="character" w:styleId="CommentReference">
    <w:name w:val="annotation reference"/>
    <w:basedOn w:val="DefaultParagraphFont"/>
    <w:unhideWhenUsed/>
    <w:rsid w:val="00FB731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73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B73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31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7310"/>
    <w:pPr>
      <w:spacing w:after="0" w:line="240" w:lineRule="auto"/>
    </w:pPr>
  </w:style>
  <w:style w:type="paragraph" w:customStyle="1" w:styleId="HeaderEven">
    <w:name w:val="Header Even"/>
    <w:basedOn w:val="NoSpacing"/>
    <w:qFormat/>
    <w:rsid w:val="00D97884"/>
    <w:pPr>
      <w:pBdr>
        <w:bottom w:val="single" w:sz="4" w:space="1" w:color="4F81BD"/>
      </w:pBdr>
    </w:pPr>
    <w:rPr>
      <w:rFonts w:ascii="Calibri" w:eastAsia="Calibri" w:hAnsi="Calibri" w:cs="Times New Roman"/>
      <w:b/>
      <w:color w:val="1F497D"/>
      <w:sz w:val="20"/>
      <w:szCs w:val="20"/>
      <w:lang w:eastAsia="ja-JP"/>
    </w:rPr>
  </w:style>
  <w:style w:type="paragraph" w:styleId="NoSpacing">
    <w:name w:val="No Spacing"/>
    <w:uiPriority w:val="1"/>
    <w:qFormat/>
    <w:rsid w:val="00D97884"/>
    <w:pPr>
      <w:spacing w:after="0" w:line="240" w:lineRule="auto"/>
    </w:pPr>
  </w:style>
  <w:style w:type="paragraph" w:styleId="EndnoteText">
    <w:name w:val="endnote text"/>
    <w:basedOn w:val="Normal"/>
    <w:link w:val="EndnoteTextChar"/>
    <w:rsid w:val="00E26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2614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rsid w:val="00E26148"/>
    <w:rPr>
      <w:vertAlign w:val="superscript"/>
    </w:rPr>
  </w:style>
  <w:style w:type="table" w:styleId="TableGrid">
    <w:name w:val="Table Grid"/>
    <w:basedOn w:val="TableNormal"/>
    <w:uiPriority w:val="59"/>
    <w:rsid w:val="00A20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21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21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hyperlink" Target="http://www.e2aproject.org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ia.gov/library/publications/the-world-factbook/geos/et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4" Type="http://schemas.openxmlformats.org/officeDocument/2006/relationships/chartUserShapes" Target="../drawings/drawing1.xml"/><Relationship Id="rId1" Type="http://schemas.microsoft.com/office/2011/relationships/chartStyle" Target="style2.xml"/><Relationship Id="rId2" Type="http://schemas.microsoft.com/office/2011/relationships/chartColorStyle" Target="colors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Número Ideal de Hijos</a:t>
            </a:r>
            <a:r>
              <a:rPr lang="en-US" baseline="0"/>
              <a:t> Para</a:t>
            </a:r>
          </a:p>
          <a:p>
            <a:pPr>
              <a:defRPr/>
            </a:pPr>
            <a:r>
              <a:rPr lang="en-US" baseline="0"/>
              <a:t> Todas las Mujeres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Sheet1!$A$24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9C3-4DCB-813D-3AB30F12A775}"/>
            </c:ext>
          </c:extLst>
        </c:ser>
        <c:ser>
          <c:idx val="1"/>
          <c:order val="1"/>
          <c:tx>
            <c:strRef>
              <c:f>Sheet1!$B$23</c:f>
              <c:strCache>
                <c:ptCount val="1"/>
                <c:pt idx="0">
                  <c:v>15-19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Sheet1!$B$24</c:f>
              <c:numCache>
                <c:formatCode>General</c:formatCode>
                <c:ptCount val="1"/>
                <c:pt idx="0">
                  <c:v>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9C3-4DCB-813D-3AB30F12A775}"/>
            </c:ext>
          </c:extLst>
        </c:ser>
        <c:ser>
          <c:idx val="2"/>
          <c:order val="2"/>
          <c:tx>
            <c:strRef>
              <c:f>Sheet1!$C$23</c:f>
              <c:strCache>
                <c:ptCount val="1"/>
                <c:pt idx="0">
                  <c:v>20-29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Sheet1!$C$24</c:f>
              <c:numCache>
                <c:formatCode>General</c:formatCode>
                <c:ptCount val="1"/>
                <c:pt idx="0">
                  <c:v>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9C3-4DCB-813D-3AB30F12A775}"/>
            </c:ext>
          </c:extLst>
        </c:ser>
        <c:ser>
          <c:idx val="3"/>
          <c:order val="3"/>
          <c:tx>
            <c:strRef>
              <c:f>Sheet1!$D$23</c:f>
              <c:strCache>
                <c:ptCount val="1"/>
                <c:pt idx="0">
                  <c:v>30-39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Sheet1!$D$24</c:f>
              <c:numCache>
                <c:formatCode>General</c:formatCode>
                <c:ptCount val="1"/>
                <c:pt idx="0">
                  <c:v>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9C3-4DCB-813D-3AB30F12A775}"/>
            </c:ext>
          </c:extLst>
        </c:ser>
        <c:ser>
          <c:idx val="4"/>
          <c:order val="4"/>
          <c:tx>
            <c:strRef>
              <c:f>Sheet1!$E$23</c:f>
              <c:strCache>
                <c:ptCount val="1"/>
                <c:pt idx="0">
                  <c:v>40-49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Sheet1!$E$24</c:f>
              <c:numCache>
                <c:formatCode>General</c:formatCode>
                <c:ptCount val="1"/>
                <c:pt idx="0">
                  <c:v>5.6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9C3-4DCB-813D-3AB30F12A7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114858416"/>
        <c:axId val="-2092678768"/>
      </c:barChart>
      <c:catAx>
        <c:axId val="-2114858416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/>
                  <a:t>Etiopía
ENDESA 2011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crossAx val="-2092678768"/>
        <c:crosses val="autoZero"/>
        <c:auto val="1"/>
        <c:lblAlgn val="ctr"/>
        <c:lblOffset val="100"/>
        <c:noMultiLvlLbl val="0"/>
      </c:catAx>
      <c:valAx>
        <c:axId val="-2092678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114858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350">
                <a:effectLst/>
              </a:rPr>
              <a:t>Porcentaje de nuevos usuarios que adoptaron el uso de métodos reversibles de acción prolongada en unidades con intervención y sin intervención al inicio del estudio y posterior a la intervención (junio 2014-abril 2015)</a:t>
            </a:r>
          </a:p>
        </c:rich>
      </c:tx>
      <c:layout>
        <c:manualLayout>
          <c:xMode val="edge"/>
          <c:yMode val="edge"/>
          <c:x val="0.0967052767052767"/>
          <c:y val="0.02564102564102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Intervention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Sheet1!$B$1:$C$1</c:f>
              <c:strCache>
                <c:ptCount val="2"/>
                <c:pt idx="0">
                  <c:v>Baseline (June-August 2014)</c:v>
                </c:pt>
                <c:pt idx="1">
                  <c:v>Post-Intervention (September-April 2015)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13.4</c:v>
                </c:pt>
                <c:pt idx="1">
                  <c:v>24.2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06B-477C-A85F-D69BCC36485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Non-Intervention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Sheet1!$B$1:$C$1</c:f>
              <c:strCache>
                <c:ptCount val="2"/>
                <c:pt idx="0">
                  <c:v>Baseline (June-August 2014)</c:v>
                </c:pt>
                <c:pt idx="1">
                  <c:v>Post-Intervention (September-April 2015)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  <c:pt idx="0">
                  <c:v>19.2</c:v>
                </c:pt>
                <c:pt idx="1">
                  <c:v>18.7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06B-477C-A85F-D69BCC3648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079581648"/>
        <c:axId val="-2092360336"/>
      </c:barChart>
      <c:catAx>
        <c:axId val="-20795816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Cronología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92360336"/>
        <c:crosses val="autoZero"/>
        <c:auto val="1"/>
        <c:lblAlgn val="ctr"/>
        <c:lblOffset val="100"/>
        <c:noMultiLvlLbl val="0"/>
      </c:catAx>
      <c:valAx>
        <c:axId val="-20923603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Porcentaje</a:t>
                </a:r>
                <a:r>
                  <a:rPr lang="en-US" baseline="0"/>
                  <a:t> de nuevos usuarios de </a:t>
                </a:r>
                <a:r>
                  <a:rPr lang="en-US"/>
                  <a:t>LARC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581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0.12932</cdr:x>
      <cdr:y>0.76657</cdr:y>
    </cdr:from>
    <cdr:to>
      <cdr:x>0.97552</cdr:x>
      <cdr:y>0.81874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38070" y="2657788"/>
          <a:ext cx="4175090" cy="1808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800"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  Al inicio del estudio (Junio-Agosto,</a:t>
          </a:r>
          <a:r>
            <a:rPr lang="en-US" sz="800" baseline="0">
              <a:effectLst/>
              <a:latin typeface="Calibri" panose="020F0502020204030204" pitchFamily="34" charset="0"/>
              <a:ea typeface="Times New Roman" panose="02020603050405020304" pitchFamily="18" charset="0"/>
              <a:cs typeface="Times New Roman" panose="02020603050405020304" pitchFamily="18" charset="0"/>
            </a:rPr>
            <a:t> 2014)       Posterior a la intervención (Septiembre-Abril, 2015</a:t>
          </a:r>
          <a:endParaRPr lang="en-US" sz="800">
            <a:effectLst/>
            <a:latin typeface="Calibri" panose="020F0502020204030204" pitchFamily="34" charset="0"/>
            <a:ea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B3B12-7EA5-3C43-A486-C8A321CE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2259</Words>
  <Characters>12880</Characters>
  <Application>Microsoft Macintosh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Sullivan</dc:creator>
  <cp:keywords/>
  <dc:description/>
  <cp:lastModifiedBy>Gabriela Sanchez-Soto</cp:lastModifiedBy>
  <cp:revision>3</cp:revision>
  <cp:lastPrinted>2011-10-06T19:32:00Z</cp:lastPrinted>
  <dcterms:created xsi:type="dcterms:W3CDTF">2018-09-20T05:49:00Z</dcterms:created>
  <dcterms:modified xsi:type="dcterms:W3CDTF">2019-02-03T22:50:00Z</dcterms:modified>
</cp:coreProperties>
</file>