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ADC" w:rsidRPr="00A14114" w:rsidRDefault="000B1AC4" w:rsidP="000B1AC4">
      <w:pPr>
        <w:rPr>
          <w:rFonts w:ascii="Arial" w:hAnsi="Arial" w:cs="Arial"/>
          <w:b/>
          <w:sz w:val="28"/>
          <w:szCs w:val="28"/>
          <w:lang w:val="es-NI"/>
        </w:rPr>
      </w:pPr>
      <w:r w:rsidRPr="00A14114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1E9730A" wp14:editId="23EF37DA">
                <wp:simplePos x="0" y="0"/>
                <wp:positionH relativeFrom="column">
                  <wp:posOffset>-47625</wp:posOffset>
                </wp:positionH>
                <wp:positionV relativeFrom="paragraph">
                  <wp:posOffset>635</wp:posOffset>
                </wp:positionV>
                <wp:extent cx="5847715" cy="2362200"/>
                <wp:effectExtent l="0" t="0" r="19685" b="19050"/>
                <wp:wrapSquare wrapText="bothSides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7715" cy="2362200"/>
                          <a:chOff x="0" y="0"/>
                          <a:chExt cx="5847715" cy="2200275"/>
                        </a:xfrm>
                      </wpg:grpSpPr>
                      <wpg:grpSp>
                        <wpg:cNvPr id="2" name="Group 2"/>
                        <wpg:cNvGrpSpPr/>
                        <wpg:grpSpPr>
                          <a:xfrm>
                            <a:off x="9525" y="424977"/>
                            <a:ext cx="5838189" cy="665439"/>
                            <a:chOff x="7670" y="-70323"/>
                            <a:chExt cx="4701379" cy="665439"/>
                          </a:xfrm>
                        </wpg:grpSpPr>
                        <wps:wsp>
                          <wps:cNvPr id="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70" y="-70323"/>
                              <a:ext cx="2229499" cy="647700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B1AC4" w:rsidRPr="00A14114" w:rsidRDefault="00872A85" w:rsidP="000B1AC4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A14114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Módulo</w:t>
                                </w:r>
                              </w:p>
                              <w:p w:rsidR="000B1AC4" w:rsidRPr="00A14114" w:rsidRDefault="001A46D7" w:rsidP="000B1AC4">
                                <w:pPr>
                                  <w:jc w:val="both"/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lang w:val="es-NI"/>
                                  </w:rPr>
                                  <w:t>Las Negociaciones &amp; la R</w:t>
                                </w:r>
                                <w:r w:rsidR="00A14114" w:rsidRPr="00A14114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endici</w:t>
                                </w:r>
                                <w:r>
                                  <w:rPr>
                                    <w:rFonts w:ascii="Arial" w:hAnsi="Arial" w:cs="Arial"/>
                                    <w:lang w:val="es-NI"/>
                                  </w:rPr>
                                  <w:t>ón</w:t>
                                </w:r>
                                <w:r w:rsidR="00A14114" w:rsidRPr="00A14114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 de </w:t>
                                </w:r>
                                <w:r>
                                  <w:rPr>
                                    <w:rFonts w:ascii="Arial" w:hAnsi="Arial" w:cs="Arial"/>
                                    <w:lang w:val="es-NI"/>
                                  </w:rPr>
                                  <w:t>C</w:t>
                                </w:r>
                                <w:r w:rsidR="00A14114" w:rsidRPr="00A14114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uentas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39440" y="-62110"/>
                              <a:ext cx="2369609" cy="657226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B1AC4" w:rsidRPr="00A14114" w:rsidRDefault="000B1AC4" w:rsidP="000B1AC4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A14114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Format</w:t>
                                </w:r>
                                <w:r w:rsidR="00872A85" w:rsidRPr="00A14114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o</w:t>
                                </w:r>
                              </w:p>
                              <w:p w:rsidR="000B1AC4" w:rsidRPr="00A14114" w:rsidRDefault="00A14114" w:rsidP="000B1AC4">
                                <w:pPr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lang w:val="es-NI"/>
                                  </w:rPr>
                                  <w:t>Presentación, ejercicio y con la opción de un orador invitado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35626"/>
                            <a:ext cx="5847715" cy="1064649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B1AC4" w:rsidRPr="00A14114" w:rsidRDefault="00467590" w:rsidP="000B1AC4">
                              <w:pP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NI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NI"/>
                                </w:rPr>
                                <w:t>Objetiv</w:t>
                              </w:r>
                              <w:r w:rsidR="001A46D7" w:rsidRPr="00A14114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NI"/>
                                </w:rPr>
                                <w:t>o</w:t>
                              </w:r>
                            </w:p>
                            <w:p w:rsidR="000B1AC4" w:rsidRPr="00A14114" w:rsidRDefault="00A14114" w:rsidP="007E33DD">
                              <w:pPr>
                                <w:jc w:val="both"/>
                                <w:rPr>
                                  <w:rFonts w:ascii="Arial" w:hAnsi="Arial" w:cs="Arial"/>
                                  <w:sz w:val="22"/>
                                  <w:lang w:val="es-NI"/>
                                </w:rPr>
                              </w:pPr>
                              <w:r w:rsidRPr="001B53E9">
                                <w:rPr>
                                  <w:rFonts w:ascii="Arial" w:hAnsi="Arial" w:cs="Arial"/>
                                  <w:lang w:val="es-NI"/>
                                </w:rPr>
                                <w:t>Esta actividad contribuye a alcanzar los objetivos de aprendizaje del módulo al identificar los pasos comunes de un proceso presupuestario nacional y los puntos de entrada para l</w:t>
                              </w:r>
                              <w:r w:rsidR="00E36F23" w:rsidRPr="001B53E9">
                                <w:rPr>
                                  <w:rFonts w:ascii="Arial" w:hAnsi="Arial" w:cs="Arial"/>
                                  <w:lang w:val="es-NI"/>
                                </w:rPr>
                                <w:t>os</w:t>
                              </w:r>
                              <w:r w:rsidR="001A46D7" w:rsidRPr="001B53E9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</w:t>
                              </w:r>
                              <w:r w:rsidR="00E36F23" w:rsidRPr="001B53E9">
                                <w:rPr>
                                  <w:rFonts w:ascii="Arial" w:hAnsi="Arial" w:cs="Arial"/>
                                  <w:lang w:val="es-NI"/>
                                </w:rPr>
                                <w:t>promotores</w:t>
                              </w:r>
                              <w:r w:rsidRPr="001B53E9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al igual que brindar ejemplos de cómo la negociación afectó los resultados del presupuesto de la planificación familiar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847715" cy="381000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B1AC4" w:rsidRPr="005A07D7" w:rsidRDefault="00185E26" w:rsidP="000B1AC4">
                              <w:pPr>
                                <w:rPr>
                                  <w:rFonts w:ascii="Arial" w:hAnsi="Arial" w:cs="Arial"/>
                                  <w:sz w:val="36"/>
                                  <w:szCs w:val="32"/>
                                  <w:lang w:val="es-NI"/>
                                </w:rPr>
                              </w:pPr>
                              <w:r w:rsidRPr="005A07D7">
                                <w:rPr>
                                  <w:rFonts w:ascii="Arial" w:hAnsi="Arial" w:cs="Arial"/>
                                  <w:b/>
                                  <w:smallCaps/>
                                  <w:sz w:val="36"/>
                                  <w:szCs w:val="32"/>
                                  <w:lang w:val="es-NI"/>
                                </w:rPr>
                                <w:t xml:space="preserve">la asignación presupuestaria </w:t>
                              </w:r>
                              <w:r w:rsidR="000B1AC4" w:rsidRPr="005A07D7">
                                <w:rPr>
                                  <w:rFonts w:ascii="Arial" w:hAnsi="Arial" w:cs="Arial"/>
                                  <w:b/>
                                  <w:smallCaps/>
                                  <w:sz w:val="36"/>
                                  <w:szCs w:val="32"/>
                                  <w:lang w:val="es-NI"/>
                                </w:rPr>
                                <w:t>(NA4L)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E9730A" id="Group 1" o:spid="_x0000_s1026" style="position:absolute;margin-left:-3.75pt;margin-top:.05pt;width:460.45pt;height:186pt;z-index:251659264;mso-width-relative:margin;mso-height-relative:margin" coordsize="58477,22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pG4ZgMAAJcPAAAOAAAAZHJzL2Uyb0RvYy54bWzsV9tu1DAQfUfiHyy/02ycbLKJmlbtAhUS&#10;Nwn4AG/iXERiB9vbbPl6xnaS3W4BiSJQEX1JfInHc84cjyen57uuRddMqkbwDPsnC4wYz0XR8CrD&#10;nz6+fLbCSGnKC9oKzjJ8wxQ+P3v65HToU0ZELdqCSQRGuEqHPsO11n3qeSqvWUfViegZh8lSyI5q&#10;6MrKKyQdwHrXemSxiLxByKKXImdKwehzN4nPrP2yZLl+V5aKadRmGHzT9intc2Oe3tkpTStJ+7rJ&#10;RzfoPbzoaMNh09nUc6op2srmjqmuyaVQotQnueg8UZZNziwGQOMvjtBcSbHtLZYqHap+pgmoPeLp&#10;3mbzt9fvJWoKiB1GnHYQIrsr8g01Q1+l8MWV7D/07+U4ULmeQbsrZWfegAPtLKk3M6lsp1EOg8tV&#10;GMf+EqMc5kgQEQiboz2vITZ31uX1i++uhGUkXpqV3rSxZ/yb3Zk7s98jMnIbGbkHsmRJAAEACEmY&#10;xLHzf48wWPmrxCGMomUYJEcA4ygG8cHyZ/EiIME0OwEN44UfxHcM/BAnHBW1V4P6PTV8qGnPrMiU&#10;ifXIWTBx9tGgvBQ7NNJmPzJqQHoHw0Y3RgGqfy3yzwpxsa4pr9iFlGKoGS3AOysliNW81ARIwRIw&#10;shneiAJER7daWENHkvoucxPxhJAkTCbeQGZOWTNvNO2l0ldMdMg0MiwhH9hd6PVrpZ2Upk8sCtE2&#10;xcumbW1HVpt1K9E1hdwRXl6s15Fd22478NkNgygnNcOwkbP9ejUNgyvKmbGyVYf2W46GDFtl/Xxv&#10;Y2xGdstE12jInm3TZdhuOR4sw/sLXgA+mmratK4NvrQc3Ji4d1HQu83OHmyVbkRxAyGRwmVJyOrQ&#10;qIX8itEAGTLD6suWSoZR+4pDWBM/DE1KtZ1wGRPoyMOZzeEM5TmYyrDGyDXX2qZh4yMXFxD+srER&#10;Me45T0ZfQevO1T8u+vCBiJ4EQWK5NRkjIr4/xnXWfRAl0WLSPTBPIpNSHnX/i7of771/QP77m+4v&#10;HYXogRwFd236frCMnMhpOp2CW4WFv4jCKLT37uMxuM8xmK/3//4WiB+U9I9S/y3RQ9m5Lwymwmmq&#10;Zx5LHnsj/qDksanfFuL7euNhVj429cPfn0Uz/qma38vDPrQP/6fPvgEAAP//AwBQSwMEFAAGAAgA&#10;AAAhAC3gMPPeAAAABwEAAA8AAABkcnMvZG93bnJldi54bWxMjs1OwkAUhfcmvsPkmriD6VARrJ0S&#10;QtQVMRFMDLtLe2kbOneaztCWt3dY6fL85JwvXY2mET11rrasQU0jEMS5LWouNXzv3ydLEM4jF9hY&#10;Jg1XcrDK7u9STAo78Bf1O1+KMMIuQQ2V920ipcsrMuimtiUO2cl2Bn2QXSmLDocwbho5i6JnabDm&#10;8FBhS5uK8vPuYjR8DDisY/XWb8+nzfWwn3/+bBVp/fgwrl9BeBr9Xxlu+AEdssB0tBcunGg0TBbz&#10;0Lz5IqQvKn4CcdQQL2YKZJbK//zZLwAAAP//AwBQSwECLQAUAAYACAAAACEAtoM4kv4AAADhAQAA&#10;EwAAAAAAAAAAAAAAAAAAAAAAW0NvbnRlbnRfVHlwZXNdLnhtbFBLAQItABQABgAIAAAAIQA4/SH/&#10;1gAAAJQBAAALAAAAAAAAAAAAAAAAAC8BAABfcmVscy8ucmVsc1BLAQItABQABgAIAAAAIQCtipG4&#10;ZgMAAJcPAAAOAAAAAAAAAAAAAAAAAC4CAABkcnMvZTJvRG9jLnhtbFBLAQItABQABgAIAAAAIQAt&#10;4DDz3gAAAAcBAAAPAAAAAAAAAAAAAAAAAMAFAABkcnMvZG93bnJldi54bWxQSwUGAAAAAAQABADz&#10;AAAAywYAAAAA&#10;">
                <v:group id="Group 2" o:spid="_x0000_s1027" style="position:absolute;left:95;top:4249;width:58382;height:6655" coordorigin="76,-703" coordsize="47013,66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left:76;top:-703;width:22295;height:6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WhScMA&#10;AADaAAAADwAAAGRycy9kb3ducmV2LnhtbESP3WrCQBCF7wXfYRmhd7rR1FLSbETTFrwo0kYfYMhO&#10;k2B2NmQ3Gt++KxS8PJyfj5NuRtOKC/WusaxguYhAEJdWN1wpOB0/568gnEfW2FomBTdysMmmkxQT&#10;ba/8Q5fCVyKMsEtQQe19l0jpypoMuoXtiIP3a3uDPsi+krrHaxg3rVxF0Ys02HAg1NhRXlN5LgYT&#10;uMWw3n1U7+Nz+ZU3cXcevm/FQamn2bh9A+Fp9I/wf3uvFcRwvxJugM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rWhScMAAADaAAAADwAAAAAAAAAAAAAAAACYAgAAZHJzL2Rv&#10;d25yZXYueG1sUEsFBgAAAAAEAAQA9QAAAIgDAAAAAA==&#10;" fillcolor="#dbeef4">
                    <v:textbox>
                      <w:txbxContent>
                        <w:p w:rsidR="000B1AC4" w:rsidRPr="00A14114" w:rsidRDefault="00872A85" w:rsidP="000B1AC4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A14114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Módulo</w:t>
                          </w:r>
                        </w:p>
                        <w:p w:rsidR="000B1AC4" w:rsidRPr="00A14114" w:rsidRDefault="001A46D7" w:rsidP="000B1AC4">
                          <w:pPr>
                            <w:jc w:val="both"/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>
                            <w:rPr>
                              <w:rFonts w:ascii="Arial" w:hAnsi="Arial" w:cs="Arial"/>
                              <w:lang w:val="es-NI"/>
                            </w:rPr>
                            <w:t>Las Negociaciones &amp; la R</w:t>
                          </w:r>
                          <w:r w:rsidR="00A14114" w:rsidRPr="00A14114">
                            <w:rPr>
                              <w:rFonts w:ascii="Arial" w:hAnsi="Arial" w:cs="Arial"/>
                              <w:lang w:val="es-NI"/>
                            </w:rPr>
                            <w:t>endici</w:t>
                          </w:r>
                          <w:r>
                            <w:rPr>
                              <w:rFonts w:ascii="Arial" w:hAnsi="Arial" w:cs="Arial"/>
                              <w:lang w:val="es-NI"/>
                            </w:rPr>
                            <w:t>ón</w:t>
                          </w:r>
                          <w:r w:rsidR="00A14114" w:rsidRPr="00A14114">
                            <w:rPr>
                              <w:rFonts w:ascii="Arial" w:hAnsi="Arial" w:cs="Arial"/>
                              <w:lang w:val="es-NI"/>
                            </w:rPr>
                            <w:t xml:space="preserve"> de </w:t>
                          </w:r>
                          <w:r>
                            <w:rPr>
                              <w:rFonts w:ascii="Arial" w:hAnsi="Arial" w:cs="Arial"/>
                              <w:lang w:val="es-NI"/>
                            </w:rPr>
                            <w:t>C</w:t>
                          </w:r>
                          <w:r w:rsidR="00A14114" w:rsidRPr="00A14114">
                            <w:rPr>
                              <w:rFonts w:ascii="Arial" w:hAnsi="Arial" w:cs="Arial"/>
                              <w:lang w:val="es-NI"/>
                            </w:rPr>
                            <w:t>uentas</w:t>
                          </w:r>
                        </w:p>
                      </w:txbxContent>
                    </v:textbox>
                  </v:shape>
                  <v:shape id="Text Box 2" o:spid="_x0000_s1029" type="#_x0000_t202" style="position:absolute;left:23394;top:-621;width:23696;height:6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w5PcMA&#10;AADaAAAADwAAAGRycy9kb3ducmV2LnhtbESP3WrCQBCF7wt9h2UKvaubWisSXUO1FbwootEHGLJj&#10;EpKdDdmNSd7eFQq9PJyfj7NKBlOLG7WutKzgfRKBIM6sLjlXcDnv3hYgnEfWWFsmBSM5SNbPTyuM&#10;te35RLfU5yKMsItRQeF9E0vpsoIMuoltiIN3ta1BH2SbS91iH8ZNLadRNJcGSw6EAhvaFpRVaWcC&#10;N+0+Nz/59zDLfrflR1N1xzE9KPX6MnwtQXga/H/4r73XCmbwuBJu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w5PcMAAADaAAAADwAAAAAAAAAAAAAAAACYAgAAZHJzL2Rv&#10;d25yZXYueG1sUEsFBgAAAAAEAAQA9QAAAIgDAAAAAA==&#10;" fillcolor="#dbeef4">
                    <v:textbox>
                      <w:txbxContent>
                        <w:p w:rsidR="000B1AC4" w:rsidRPr="00A14114" w:rsidRDefault="000B1AC4" w:rsidP="000B1AC4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A14114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Format</w:t>
                          </w:r>
                          <w:r w:rsidR="00872A85" w:rsidRPr="00A14114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o</w:t>
                          </w:r>
                        </w:p>
                        <w:p w:rsidR="000B1AC4" w:rsidRPr="00A14114" w:rsidRDefault="00A14114" w:rsidP="000B1AC4">
                          <w:pPr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>
                            <w:rPr>
                              <w:rFonts w:ascii="Arial" w:hAnsi="Arial" w:cs="Arial"/>
                              <w:lang w:val="es-NI"/>
                            </w:rPr>
                            <w:t>Presentación, ejercicio y con la opción de un orador invitado</w:t>
                          </w:r>
                        </w:p>
                      </w:txbxContent>
                    </v:textbox>
                  </v:shape>
                </v:group>
                <v:shape id="Text Box 2" o:spid="_x0000_s1030" type="#_x0000_t202" style="position:absolute;top:11356;width:58477;height:106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IC0cIA&#10;AADaAAAADwAAAGRycy9kb3ducmV2LnhtbESP3YrCMBCF7wXfIYzgnaaua5FqlF1XwQuR3eoDDM3Y&#10;FptJaVKtb78RBC8P5+fjLNedqcSNGldaVjAZRyCIM6tLzhWcT7vRHITzyBory6TgQQ7Wq35viYm2&#10;d/6jW+pzEUbYJaig8L5OpHRZQQbd2NbEwbvYxqAPssmlbvAexk0lP6IolgZLDoQCa9oUlF3T1gRu&#10;2s6+t/lP95kdNuW0vra/j/So1HDQfS1AeOr8O/xq77WCGJ5Xwg2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wgLRwgAAANoAAAAPAAAAAAAAAAAAAAAAAJgCAABkcnMvZG93&#10;bnJldi54bWxQSwUGAAAAAAQABAD1AAAAhwMAAAAA&#10;" fillcolor="#dbeef4">
                  <v:textbox>
                    <w:txbxContent>
                      <w:p w:rsidR="000B1AC4" w:rsidRPr="00A14114" w:rsidRDefault="00467590" w:rsidP="000B1AC4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NI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NI"/>
                          </w:rPr>
                          <w:t>Objetiv</w:t>
                        </w:r>
                        <w:r w:rsidR="001A46D7" w:rsidRPr="00A14114"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NI"/>
                          </w:rPr>
                          <w:t>o</w:t>
                        </w:r>
                      </w:p>
                      <w:p w:rsidR="000B1AC4" w:rsidRPr="00A14114" w:rsidRDefault="00A14114" w:rsidP="007E33DD">
                        <w:pPr>
                          <w:jc w:val="both"/>
                          <w:rPr>
                            <w:rFonts w:ascii="Arial" w:hAnsi="Arial" w:cs="Arial"/>
                            <w:sz w:val="22"/>
                            <w:lang w:val="es-NI"/>
                          </w:rPr>
                        </w:pPr>
                        <w:r w:rsidRPr="001B53E9">
                          <w:rPr>
                            <w:rFonts w:ascii="Arial" w:hAnsi="Arial" w:cs="Arial"/>
                            <w:lang w:val="es-NI"/>
                          </w:rPr>
                          <w:t>Esta actividad contribuye a alcanzar los objetivos de aprendizaje del módulo al identificar los pasos comunes de un proceso presupuestario nacional y los puntos de entrada para l</w:t>
                        </w:r>
                        <w:r w:rsidR="00E36F23" w:rsidRPr="001B53E9">
                          <w:rPr>
                            <w:rFonts w:ascii="Arial" w:hAnsi="Arial" w:cs="Arial"/>
                            <w:lang w:val="es-NI"/>
                          </w:rPr>
                          <w:t>os</w:t>
                        </w:r>
                        <w:r w:rsidR="001A46D7" w:rsidRPr="001B53E9">
                          <w:rPr>
                            <w:rFonts w:ascii="Arial" w:hAnsi="Arial" w:cs="Arial"/>
                            <w:lang w:val="es-NI"/>
                          </w:rPr>
                          <w:t xml:space="preserve"> </w:t>
                        </w:r>
                        <w:r w:rsidR="00E36F23" w:rsidRPr="001B53E9">
                          <w:rPr>
                            <w:rFonts w:ascii="Arial" w:hAnsi="Arial" w:cs="Arial"/>
                            <w:lang w:val="es-NI"/>
                          </w:rPr>
                          <w:t>promotores</w:t>
                        </w:r>
                        <w:r w:rsidRPr="001B53E9">
                          <w:rPr>
                            <w:rFonts w:ascii="Arial" w:hAnsi="Arial" w:cs="Arial"/>
                            <w:lang w:val="es-NI"/>
                          </w:rPr>
                          <w:t xml:space="preserve"> al igual que brindar ejemplos de cómo la negociación afectó los resultados del presupuesto de la planificación familiar</w:t>
                        </w:r>
                      </w:p>
                    </w:txbxContent>
                  </v:textbox>
                </v:shape>
                <v:shape id="Text Box 2" o:spid="_x0000_s1031" type="#_x0000_t202" style="position:absolute;width:58477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6nSsIA&#10;AADaAAAADwAAAGRycy9kb3ducmV2LnhtbESP3YrCMBCF7xd8hzCCd5q6rj9Uo7juCl6IaPUBhmZs&#10;i82kNKnWt98Iwl4ezs/HWaxaU4o71a6wrGA4iEAQp1YXnCm4nLf9GQjnkTWWlknBkxyslp2PBcba&#10;PvhE98RnIoywi1FB7n0VS+nSnAy6ga2Ig3e1tUEfZJ1JXeMjjJtSfkbRRBosOBByrGiTU3pLGhO4&#10;STP+/s1+2q90vylG1a05PpODUr1uu56D8NT6//C7vdMKpvC6Em6AX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jqdKwgAAANoAAAAPAAAAAAAAAAAAAAAAAJgCAABkcnMvZG93&#10;bnJldi54bWxQSwUGAAAAAAQABAD1AAAAhwMAAAAA&#10;" fillcolor="#dbeef4">
                  <v:textbox>
                    <w:txbxContent>
                      <w:p w:rsidR="000B1AC4" w:rsidRPr="005A07D7" w:rsidRDefault="00185E26" w:rsidP="000B1AC4">
                        <w:pPr>
                          <w:rPr>
                            <w:rFonts w:ascii="Arial" w:hAnsi="Arial" w:cs="Arial"/>
                            <w:sz w:val="36"/>
                            <w:szCs w:val="32"/>
                            <w:lang w:val="es-NI"/>
                          </w:rPr>
                        </w:pPr>
                        <w:r w:rsidRPr="005A07D7">
                          <w:rPr>
                            <w:rFonts w:ascii="Arial" w:hAnsi="Arial" w:cs="Arial"/>
                            <w:b/>
                            <w:smallCaps/>
                            <w:sz w:val="36"/>
                            <w:szCs w:val="32"/>
                            <w:lang w:val="es-NI"/>
                          </w:rPr>
                          <w:t xml:space="preserve">la asignación presupuestaria </w:t>
                        </w:r>
                        <w:r w:rsidR="000B1AC4" w:rsidRPr="005A07D7">
                          <w:rPr>
                            <w:rFonts w:ascii="Arial" w:hAnsi="Arial" w:cs="Arial"/>
                            <w:b/>
                            <w:smallCaps/>
                            <w:sz w:val="36"/>
                            <w:szCs w:val="32"/>
                            <w:lang w:val="es-NI"/>
                          </w:rPr>
                          <w:t>(NA4L)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872A85" w:rsidRPr="00A14114">
        <w:rPr>
          <w:rFonts w:ascii="Arial" w:hAnsi="Arial" w:cs="Arial"/>
          <w:b/>
          <w:sz w:val="28"/>
          <w:szCs w:val="28"/>
          <w:lang w:val="es-NI"/>
        </w:rPr>
        <w:t>Tiempo</w:t>
      </w:r>
      <w:r w:rsidR="00F32ADC" w:rsidRPr="00A14114">
        <w:rPr>
          <w:rFonts w:ascii="Arial" w:hAnsi="Arial" w:cs="Arial"/>
          <w:b/>
          <w:sz w:val="28"/>
          <w:szCs w:val="28"/>
          <w:lang w:val="es-NI"/>
        </w:rPr>
        <w:t xml:space="preserve"> Requ</w:t>
      </w:r>
      <w:r w:rsidR="00872A85" w:rsidRPr="00A14114">
        <w:rPr>
          <w:rFonts w:ascii="Arial" w:hAnsi="Arial" w:cs="Arial"/>
          <w:b/>
          <w:sz w:val="28"/>
          <w:szCs w:val="28"/>
          <w:lang w:val="es-NI"/>
        </w:rPr>
        <w:t>e</w:t>
      </w:r>
      <w:r w:rsidR="00F32ADC" w:rsidRPr="00A14114">
        <w:rPr>
          <w:rFonts w:ascii="Arial" w:hAnsi="Arial" w:cs="Arial"/>
          <w:b/>
          <w:sz w:val="28"/>
          <w:szCs w:val="28"/>
          <w:lang w:val="es-NI"/>
        </w:rPr>
        <w:t>r</w:t>
      </w:r>
      <w:r w:rsidR="00872A85" w:rsidRPr="00A14114">
        <w:rPr>
          <w:rFonts w:ascii="Arial" w:hAnsi="Arial" w:cs="Arial"/>
          <w:b/>
          <w:sz w:val="28"/>
          <w:szCs w:val="28"/>
          <w:lang w:val="es-NI"/>
        </w:rPr>
        <w:t>i</w:t>
      </w:r>
      <w:r w:rsidR="00F32ADC" w:rsidRPr="00A14114">
        <w:rPr>
          <w:rFonts w:ascii="Arial" w:hAnsi="Arial" w:cs="Arial"/>
          <w:b/>
          <w:sz w:val="28"/>
          <w:szCs w:val="28"/>
          <w:lang w:val="es-NI"/>
        </w:rPr>
        <w:t>d</w:t>
      </w:r>
      <w:r w:rsidR="00872A85" w:rsidRPr="00A14114">
        <w:rPr>
          <w:rFonts w:ascii="Arial" w:hAnsi="Arial" w:cs="Arial"/>
          <w:b/>
          <w:sz w:val="28"/>
          <w:szCs w:val="28"/>
          <w:lang w:val="es-NI"/>
        </w:rPr>
        <w:t>o</w:t>
      </w:r>
      <w:bookmarkStart w:id="0" w:name="_GoBack"/>
      <w:bookmarkEnd w:id="0"/>
    </w:p>
    <w:p w:rsidR="00F32ADC" w:rsidRPr="00A14114" w:rsidRDefault="00F32ADC" w:rsidP="00F32ADC">
      <w:pPr>
        <w:rPr>
          <w:rFonts w:ascii="Arial" w:hAnsi="Arial" w:cs="Arial"/>
          <w:b/>
          <w:lang w:val="es-NI"/>
        </w:rPr>
      </w:pPr>
    </w:p>
    <w:p w:rsidR="00F32ADC" w:rsidRPr="00A14114" w:rsidRDefault="00872A85" w:rsidP="00F32ADC">
      <w:pPr>
        <w:pStyle w:val="Prrafodelista"/>
        <w:numPr>
          <w:ilvl w:val="0"/>
          <w:numId w:val="12"/>
        </w:numPr>
        <w:rPr>
          <w:rFonts w:ascii="Arial" w:hAnsi="Arial" w:cs="Arial"/>
          <w:b/>
          <w:lang w:val="es-NI"/>
        </w:rPr>
      </w:pPr>
      <w:r w:rsidRPr="00A14114">
        <w:rPr>
          <w:rFonts w:ascii="Arial" w:hAnsi="Arial" w:cs="Arial"/>
          <w:lang w:val="es-NI"/>
        </w:rPr>
        <w:t>30 minuto</w:t>
      </w:r>
      <w:r w:rsidR="00F32ADC" w:rsidRPr="00A14114">
        <w:rPr>
          <w:rFonts w:ascii="Arial" w:hAnsi="Arial" w:cs="Arial"/>
          <w:lang w:val="es-NI"/>
        </w:rPr>
        <w:t>s</w:t>
      </w:r>
    </w:p>
    <w:p w:rsidR="00F32ADC" w:rsidRPr="00A14114" w:rsidRDefault="00F32ADC" w:rsidP="00F32ADC">
      <w:pPr>
        <w:rPr>
          <w:rFonts w:ascii="Arial" w:hAnsi="Arial" w:cs="Arial"/>
          <w:b/>
          <w:lang w:val="es-NI"/>
        </w:rPr>
      </w:pPr>
    </w:p>
    <w:p w:rsidR="00F32ADC" w:rsidRPr="00A14114" w:rsidRDefault="00872A85" w:rsidP="00F32ADC">
      <w:pPr>
        <w:rPr>
          <w:rFonts w:ascii="Arial" w:hAnsi="Arial" w:cs="Arial"/>
          <w:b/>
          <w:sz w:val="28"/>
          <w:szCs w:val="28"/>
          <w:lang w:val="es-NI"/>
        </w:rPr>
      </w:pPr>
      <w:r w:rsidRPr="00A14114">
        <w:rPr>
          <w:rFonts w:ascii="Arial" w:hAnsi="Arial" w:cs="Arial"/>
          <w:b/>
          <w:sz w:val="28"/>
          <w:szCs w:val="28"/>
          <w:lang w:val="es-NI"/>
        </w:rPr>
        <w:t>Descripción de la actividad</w:t>
      </w:r>
    </w:p>
    <w:p w:rsidR="00F32ADC" w:rsidRPr="00A14114" w:rsidRDefault="00F32ADC" w:rsidP="00F32ADC">
      <w:pPr>
        <w:rPr>
          <w:rFonts w:ascii="Arial" w:hAnsi="Arial" w:cs="Arial"/>
          <w:b/>
          <w:sz w:val="28"/>
          <w:szCs w:val="28"/>
          <w:lang w:val="es-NI"/>
        </w:rPr>
      </w:pPr>
    </w:p>
    <w:p w:rsidR="00F32ADC" w:rsidRPr="00D918CF" w:rsidRDefault="00A14114" w:rsidP="007E33DD">
      <w:pPr>
        <w:jc w:val="both"/>
        <w:rPr>
          <w:rFonts w:ascii="Arial" w:hAnsi="Arial" w:cs="Arial"/>
          <w:lang w:val="es-NI"/>
        </w:rPr>
      </w:pPr>
      <w:r w:rsidRPr="00D918CF">
        <w:rPr>
          <w:rFonts w:ascii="Arial" w:hAnsi="Arial" w:cs="Arial"/>
          <w:lang w:val="es-NI"/>
        </w:rPr>
        <w:t>Esta sesió</w:t>
      </w:r>
      <w:r w:rsidR="001A46D7">
        <w:rPr>
          <w:rFonts w:ascii="Arial" w:hAnsi="Arial" w:cs="Arial"/>
          <w:lang w:val="es-NI"/>
        </w:rPr>
        <w:t>n contiene una presentación de P</w:t>
      </w:r>
      <w:r w:rsidRPr="00D918CF">
        <w:rPr>
          <w:rFonts w:ascii="Arial" w:hAnsi="Arial" w:cs="Arial"/>
          <w:lang w:val="es-NI"/>
        </w:rPr>
        <w:t xml:space="preserve">ower </w:t>
      </w:r>
      <w:r w:rsidR="001A46D7">
        <w:rPr>
          <w:rFonts w:ascii="Arial" w:hAnsi="Arial" w:cs="Arial"/>
          <w:lang w:val="es-NI"/>
        </w:rPr>
        <w:t>P</w:t>
      </w:r>
      <w:r w:rsidRPr="00D918CF">
        <w:rPr>
          <w:rFonts w:ascii="Arial" w:hAnsi="Arial" w:cs="Arial"/>
          <w:lang w:val="es-NI"/>
        </w:rPr>
        <w:t>oint con las notas del orador</w:t>
      </w:r>
      <w:r w:rsidR="00D918CF" w:rsidRPr="00D918CF">
        <w:rPr>
          <w:rFonts w:ascii="Arial" w:hAnsi="Arial" w:cs="Arial"/>
          <w:lang w:val="es-NI"/>
        </w:rPr>
        <w:t xml:space="preserve"> que se pretende sirva</w:t>
      </w:r>
      <w:r w:rsidR="001A46D7">
        <w:rPr>
          <w:rFonts w:ascii="Arial" w:hAnsi="Arial" w:cs="Arial"/>
          <w:lang w:val="es-NI"/>
        </w:rPr>
        <w:t>n</w:t>
      </w:r>
      <w:r w:rsidR="00D918CF" w:rsidRPr="00D918CF">
        <w:rPr>
          <w:rFonts w:ascii="Arial" w:hAnsi="Arial" w:cs="Arial"/>
          <w:lang w:val="es-NI"/>
        </w:rPr>
        <w:t xml:space="preserve"> como uno de los tres componentes de capacitación vinculados </w:t>
      </w:r>
      <w:r w:rsidR="00185E26">
        <w:rPr>
          <w:rFonts w:ascii="Arial" w:hAnsi="Arial" w:cs="Arial"/>
          <w:lang w:val="es-NI"/>
        </w:rPr>
        <w:t xml:space="preserve">en la asignación presupuestaria </w:t>
      </w:r>
      <w:r w:rsidR="00D918CF">
        <w:rPr>
          <w:rFonts w:ascii="Arial" w:hAnsi="Arial" w:cs="Arial"/>
          <w:lang w:val="es-NI"/>
        </w:rPr>
        <w:t xml:space="preserve">junto con un ejercicio </w:t>
      </w:r>
      <w:r w:rsidR="00F32ADC" w:rsidRPr="00D918CF">
        <w:rPr>
          <w:rFonts w:ascii="Arial" w:hAnsi="Arial" w:cs="Arial"/>
          <w:lang w:val="es-NI"/>
        </w:rPr>
        <w:t xml:space="preserve">(NA5E) </w:t>
      </w:r>
      <w:r w:rsidR="00D918CF">
        <w:rPr>
          <w:rFonts w:ascii="Arial" w:hAnsi="Arial" w:cs="Arial"/>
          <w:lang w:val="es-NI"/>
        </w:rPr>
        <w:t>y con la opción, pero muy recomendad</w:t>
      </w:r>
      <w:r w:rsidR="001021DB">
        <w:rPr>
          <w:rFonts w:ascii="Arial" w:hAnsi="Arial" w:cs="Arial"/>
          <w:lang w:val="es-NI"/>
        </w:rPr>
        <w:t>a</w:t>
      </w:r>
      <w:r w:rsidR="00D918CF">
        <w:rPr>
          <w:rFonts w:ascii="Arial" w:hAnsi="Arial" w:cs="Arial"/>
          <w:lang w:val="es-NI"/>
        </w:rPr>
        <w:t>, de tener a un orador invitado (NAS1D)</w:t>
      </w:r>
    </w:p>
    <w:p w:rsidR="00F32ADC" w:rsidRPr="00D918CF" w:rsidRDefault="00F32ADC" w:rsidP="007E33DD">
      <w:pPr>
        <w:jc w:val="both"/>
        <w:rPr>
          <w:rFonts w:ascii="Arial" w:hAnsi="Arial" w:cs="Arial"/>
          <w:lang w:val="es-NI"/>
        </w:rPr>
      </w:pPr>
    </w:p>
    <w:p w:rsidR="00F32ADC" w:rsidRPr="00185E26" w:rsidRDefault="005859D6" w:rsidP="007E33DD">
      <w:pPr>
        <w:jc w:val="both"/>
        <w:rPr>
          <w:rFonts w:ascii="Arial" w:hAnsi="Arial" w:cs="Arial"/>
          <w:lang w:val="es-NI"/>
        </w:rPr>
      </w:pPr>
      <w:r w:rsidRPr="00185E26">
        <w:rPr>
          <w:rFonts w:ascii="Arial" w:hAnsi="Arial" w:cs="Arial"/>
          <w:lang w:val="es-NI"/>
        </w:rPr>
        <w:t>La presentación comienza con la discusión de los beneficios</w:t>
      </w:r>
      <w:r w:rsidR="00185E26" w:rsidRPr="00185E26">
        <w:rPr>
          <w:rFonts w:ascii="Arial" w:hAnsi="Arial" w:cs="Arial"/>
          <w:lang w:val="es-NI"/>
        </w:rPr>
        <w:t xml:space="preserve"> de la asignación presupuestaria, los tipos de análisis de presupuesto y los principios para obtener una discusi</w:t>
      </w:r>
      <w:r w:rsidR="00185E26">
        <w:rPr>
          <w:rFonts w:ascii="Arial" w:hAnsi="Arial" w:cs="Arial"/>
          <w:lang w:val="es-NI"/>
        </w:rPr>
        <w:t xml:space="preserve">ón exitosa entre los ministerios de salud y los ministerios de finanzas. </w:t>
      </w:r>
      <w:r w:rsidR="00185E26" w:rsidRPr="00185E26">
        <w:rPr>
          <w:rFonts w:ascii="Arial" w:hAnsi="Arial" w:cs="Arial"/>
          <w:lang w:val="es-NI"/>
        </w:rPr>
        <w:t>Dos diagramas</w:t>
      </w:r>
      <w:r w:rsidRPr="00185E26">
        <w:rPr>
          <w:rFonts w:ascii="Arial" w:hAnsi="Arial" w:cs="Arial"/>
          <w:lang w:val="es-NI"/>
        </w:rPr>
        <w:t xml:space="preserve"> </w:t>
      </w:r>
      <w:r w:rsidR="00185E26" w:rsidRPr="00185E26">
        <w:rPr>
          <w:rFonts w:ascii="Arial" w:hAnsi="Arial" w:cs="Arial"/>
          <w:lang w:val="es-NI"/>
        </w:rPr>
        <w:t>describen las bases de los flujos de recursos gubernamentales y del ciclo presupuest</w:t>
      </w:r>
      <w:r w:rsidR="001021DB">
        <w:rPr>
          <w:rFonts w:ascii="Arial" w:hAnsi="Arial" w:cs="Arial"/>
          <w:lang w:val="es-NI"/>
        </w:rPr>
        <w:t>ario</w:t>
      </w:r>
      <w:r w:rsidR="00185E26" w:rsidRPr="00185E26">
        <w:rPr>
          <w:rFonts w:ascii="Arial" w:hAnsi="Arial" w:cs="Arial"/>
          <w:lang w:val="es-NI"/>
        </w:rPr>
        <w:t xml:space="preserve"> definidos en cinco fases claves.</w:t>
      </w:r>
      <w:r w:rsidR="00185E26">
        <w:rPr>
          <w:rFonts w:ascii="Arial" w:hAnsi="Arial" w:cs="Arial"/>
          <w:lang w:val="es-NI"/>
        </w:rPr>
        <w:t xml:space="preserve"> </w:t>
      </w:r>
      <w:r w:rsidR="00185E26" w:rsidRPr="00185E26">
        <w:rPr>
          <w:rFonts w:ascii="Arial" w:hAnsi="Arial" w:cs="Arial"/>
          <w:lang w:val="es-NI"/>
        </w:rPr>
        <w:t>La presentación discute los puntos de entrada para la negociación en cada una de las cinco fases del proceso presupuestario y se enfoca en los tipos de los resultados de presupuesto que se pueden monitorear en la etapa final.</w:t>
      </w:r>
      <w:r w:rsidR="00185E26">
        <w:rPr>
          <w:rFonts w:ascii="Arial" w:hAnsi="Arial" w:cs="Arial"/>
          <w:lang w:val="es-NI"/>
        </w:rPr>
        <w:t xml:space="preserve"> </w:t>
      </w:r>
      <w:r w:rsidR="00185E26" w:rsidRPr="00185E26">
        <w:rPr>
          <w:rFonts w:ascii="Arial" w:hAnsi="Arial" w:cs="Arial"/>
          <w:lang w:val="es-NI"/>
        </w:rPr>
        <w:t>En la última diapositiva aparecen inclu</w:t>
      </w:r>
      <w:r w:rsidR="001021DB">
        <w:rPr>
          <w:rFonts w:ascii="Arial" w:hAnsi="Arial" w:cs="Arial"/>
          <w:lang w:val="es-NI"/>
        </w:rPr>
        <w:t>i</w:t>
      </w:r>
      <w:r w:rsidR="00185E26" w:rsidRPr="00185E26">
        <w:rPr>
          <w:rFonts w:ascii="Arial" w:hAnsi="Arial" w:cs="Arial"/>
          <w:lang w:val="es-NI"/>
        </w:rPr>
        <w:t>dos varios recursos para el aprendizaje adicional</w:t>
      </w:r>
      <w:r w:rsidR="00185E26">
        <w:rPr>
          <w:rFonts w:ascii="Arial" w:hAnsi="Arial" w:cs="Arial"/>
          <w:lang w:val="es-NI"/>
        </w:rPr>
        <w:t>.</w:t>
      </w:r>
    </w:p>
    <w:p w:rsidR="00F32ADC" w:rsidRPr="00A14114" w:rsidRDefault="00F32ADC" w:rsidP="00F32ADC">
      <w:pPr>
        <w:rPr>
          <w:rFonts w:ascii="Arial" w:hAnsi="Arial" w:cs="Arial"/>
          <w:b/>
          <w:lang w:val="es-NI"/>
        </w:rPr>
      </w:pPr>
    </w:p>
    <w:p w:rsidR="00F32ADC" w:rsidRPr="00A14114" w:rsidRDefault="00872A85" w:rsidP="00F32ADC">
      <w:pPr>
        <w:rPr>
          <w:rFonts w:ascii="Arial" w:hAnsi="Arial" w:cs="Arial"/>
          <w:b/>
          <w:sz w:val="28"/>
          <w:szCs w:val="28"/>
          <w:lang w:val="es-NI"/>
        </w:rPr>
      </w:pPr>
      <w:r w:rsidRPr="00A14114">
        <w:rPr>
          <w:rFonts w:ascii="Arial" w:hAnsi="Arial" w:cs="Arial"/>
          <w:b/>
          <w:sz w:val="28"/>
          <w:szCs w:val="28"/>
          <w:lang w:val="es-NI"/>
        </w:rPr>
        <w:t>Concepto(s) claves de aprendizaje</w:t>
      </w:r>
    </w:p>
    <w:p w:rsidR="00F32ADC" w:rsidRPr="00A14114" w:rsidRDefault="00F32ADC" w:rsidP="00F32ADC">
      <w:pPr>
        <w:rPr>
          <w:rFonts w:ascii="Arial" w:hAnsi="Arial" w:cs="Arial"/>
          <w:b/>
          <w:lang w:val="es-NI"/>
        </w:rPr>
      </w:pPr>
    </w:p>
    <w:p w:rsidR="00185E26" w:rsidRDefault="00185E26" w:rsidP="004C2023">
      <w:pPr>
        <w:numPr>
          <w:ilvl w:val="0"/>
          <w:numId w:val="4"/>
        </w:numPr>
        <w:rPr>
          <w:rFonts w:ascii="Arial" w:hAnsi="Arial" w:cs="Arial"/>
          <w:lang w:val="es-NI"/>
        </w:rPr>
      </w:pPr>
      <w:r w:rsidRPr="00185E26">
        <w:rPr>
          <w:rFonts w:ascii="Arial" w:hAnsi="Arial" w:cs="Arial"/>
          <w:lang w:val="es-NI"/>
        </w:rPr>
        <w:t>El razonamiento para la asignación presupuestaria y el monitoreo</w:t>
      </w:r>
    </w:p>
    <w:p w:rsidR="00F32ADC" w:rsidRPr="00185E26" w:rsidRDefault="00185E26" w:rsidP="004C2023">
      <w:pPr>
        <w:numPr>
          <w:ilvl w:val="0"/>
          <w:numId w:val="4"/>
        </w:numPr>
        <w:rPr>
          <w:rFonts w:ascii="Arial" w:hAnsi="Arial" w:cs="Arial"/>
          <w:lang w:val="es-NI"/>
        </w:rPr>
      </w:pPr>
      <w:r w:rsidRPr="00185E26">
        <w:rPr>
          <w:rFonts w:ascii="Arial" w:hAnsi="Arial" w:cs="Arial"/>
          <w:lang w:val="es-NI"/>
        </w:rPr>
        <w:t>Las fases del proceso presupuestario</w:t>
      </w:r>
    </w:p>
    <w:p w:rsidR="00F32ADC" w:rsidRPr="00A14114" w:rsidRDefault="00185E26" w:rsidP="00F32ADC">
      <w:pPr>
        <w:numPr>
          <w:ilvl w:val="0"/>
          <w:numId w:val="4"/>
        </w:numPr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Los puntos de entrada para la negociación dentro del proceso presupuestario</w:t>
      </w:r>
    </w:p>
    <w:p w:rsidR="00F32ADC" w:rsidRPr="00A14114" w:rsidRDefault="00F32ADC" w:rsidP="00F32ADC">
      <w:pPr>
        <w:rPr>
          <w:rFonts w:ascii="Arial" w:hAnsi="Arial" w:cs="Arial"/>
          <w:b/>
          <w:lang w:val="es-NI"/>
        </w:rPr>
      </w:pPr>
    </w:p>
    <w:p w:rsidR="00F32ADC" w:rsidRPr="00A14114" w:rsidRDefault="00F32ADC" w:rsidP="00F32ADC">
      <w:pPr>
        <w:rPr>
          <w:rFonts w:ascii="Arial" w:hAnsi="Arial" w:cs="Arial"/>
          <w:b/>
          <w:sz w:val="28"/>
          <w:szCs w:val="28"/>
          <w:lang w:val="es-NI"/>
        </w:rPr>
      </w:pPr>
      <w:r w:rsidRPr="00A14114">
        <w:rPr>
          <w:rFonts w:ascii="Arial" w:hAnsi="Arial" w:cs="Arial"/>
          <w:b/>
          <w:sz w:val="28"/>
          <w:szCs w:val="28"/>
          <w:lang w:val="es-NI"/>
        </w:rPr>
        <w:t>Material</w:t>
      </w:r>
      <w:r w:rsidR="00872A85" w:rsidRPr="00A14114">
        <w:rPr>
          <w:rFonts w:ascii="Arial" w:hAnsi="Arial" w:cs="Arial"/>
          <w:b/>
          <w:sz w:val="28"/>
          <w:szCs w:val="28"/>
          <w:lang w:val="es-NI"/>
        </w:rPr>
        <w:t>e</w:t>
      </w:r>
      <w:r w:rsidRPr="00A14114">
        <w:rPr>
          <w:rFonts w:ascii="Arial" w:hAnsi="Arial" w:cs="Arial"/>
          <w:b/>
          <w:sz w:val="28"/>
          <w:szCs w:val="28"/>
          <w:lang w:val="es-NI"/>
        </w:rPr>
        <w:t xml:space="preserve">s </w:t>
      </w:r>
      <w:r w:rsidR="00467590">
        <w:rPr>
          <w:rFonts w:ascii="Arial" w:hAnsi="Arial" w:cs="Arial"/>
          <w:b/>
          <w:sz w:val="28"/>
          <w:szCs w:val="28"/>
          <w:lang w:val="es-NI"/>
        </w:rPr>
        <w:t>requeridos</w:t>
      </w:r>
    </w:p>
    <w:p w:rsidR="00F32ADC" w:rsidRPr="00A14114" w:rsidRDefault="00F32ADC" w:rsidP="00F32ADC">
      <w:pPr>
        <w:rPr>
          <w:rFonts w:ascii="Arial" w:hAnsi="Arial" w:cs="Arial"/>
          <w:b/>
          <w:lang w:val="es-NI"/>
        </w:rPr>
      </w:pPr>
    </w:p>
    <w:p w:rsidR="00F32ADC" w:rsidRPr="00A14114" w:rsidRDefault="00F32ADC" w:rsidP="00F32ADC">
      <w:pPr>
        <w:pStyle w:val="Prrafodelista"/>
        <w:numPr>
          <w:ilvl w:val="0"/>
          <w:numId w:val="13"/>
        </w:numPr>
        <w:rPr>
          <w:rFonts w:ascii="Arial" w:hAnsi="Arial" w:cs="Arial"/>
          <w:lang w:val="es-NI"/>
        </w:rPr>
      </w:pPr>
      <w:r w:rsidRPr="00A14114">
        <w:rPr>
          <w:rFonts w:ascii="Arial" w:hAnsi="Arial" w:cs="Arial"/>
          <w:lang w:val="es-NI"/>
        </w:rPr>
        <w:t xml:space="preserve">Laptop </w:t>
      </w:r>
      <w:r w:rsidR="00333B3D">
        <w:rPr>
          <w:rFonts w:ascii="Arial" w:hAnsi="Arial" w:cs="Arial"/>
          <w:lang w:val="es-NI"/>
        </w:rPr>
        <w:t>y proyector</w:t>
      </w:r>
    </w:p>
    <w:p w:rsidR="00F32ADC" w:rsidRPr="00A14114" w:rsidRDefault="00F32ADC" w:rsidP="00F32ADC">
      <w:pPr>
        <w:rPr>
          <w:rFonts w:ascii="Arial" w:hAnsi="Arial" w:cs="Arial"/>
          <w:b/>
          <w:sz w:val="28"/>
          <w:szCs w:val="28"/>
          <w:lang w:val="es-NI"/>
        </w:rPr>
      </w:pPr>
      <w:r w:rsidRPr="00A14114">
        <w:rPr>
          <w:rFonts w:ascii="Arial" w:hAnsi="Arial" w:cs="Arial"/>
          <w:b/>
          <w:sz w:val="28"/>
          <w:szCs w:val="28"/>
          <w:lang w:val="es-NI"/>
        </w:rPr>
        <w:br w:type="page"/>
      </w:r>
      <w:r w:rsidR="00872A85" w:rsidRPr="00A14114">
        <w:rPr>
          <w:rFonts w:ascii="Arial" w:hAnsi="Arial" w:cs="Arial"/>
          <w:b/>
          <w:sz w:val="28"/>
          <w:szCs w:val="28"/>
          <w:lang w:val="es-NI"/>
        </w:rPr>
        <w:lastRenderedPageBreak/>
        <w:t xml:space="preserve">Sesiones </w:t>
      </w:r>
      <w:r w:rsidR="00333B3D">
        <w:rPr>
          <w:rFonts w:ascii="Arial" w:hAnsi="Arial" w:cs="Arial"/>
          <w:b/>
          <w:sz w:val="28"/>
          <w:szCs w:val="28"/>
          <w:lang w:val="es-NI"/>
        </w:rPr>
        <w:t>asociada</w:t>
      </w:r>
      <w:r w:rsidR="001021DB">
        <w:rPr>
          <w:rFonts w:ascii="Arial" w:hAnsi="Arial" w:cs="Arial"/>
          <w:b/>
          <w:sz w:val="28"/>
          <w:szCs w:val="28"/>
          <w:lang w:val="es-NI"/>
        </w:rPr>
        <w:t>s</w:t>
      </w:r>
    </w:p>
    <w:p w:rsidR="00F32ADC" w:rsidRPr="00A14114" w:rsidRDefault="00F32ADC" w:rsidP="00F32ADC">
      <w:pPr>
        <w:rPr>
          <w:rFonts w:ascii="Arial" w:hAnsi="Arial" w:cs="Arial"/>
          <w:b/>
          <w:lang w:val="es-NI"/>
        </w:rPr>
      </w:pPr>
    </w:p>
    <w:p w:rsidR="00F32ADC" w:rsidRPr="00A14114" w:rsidRDefault="00333B3D" w:rsidP="00F32ADC">
      <w:pPr>
        <w:numPr>
          <w:ilvl w:val="0"/>
          <w:numId w:val="4"/>
        </w:numPr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Hoja de cálculo de asignación presupuestaria</w:t>
      </w:r>
      <w:r w:rsidR="00F32ADC" w:rsidRPr="00A14114">
        <w:rPr>
          <w:rFonts w:ascii="Arial" w:hAnsi="Arial" w:cs="Arial"/>
          <w:lang w:val="es-NI"/>
        </w:rPr>
        <w:t xml:space="preserve"> (NA5E)</w:t>
      </w:r>
    </w:p>
    <w:p w:rsidR="00F32ADC" w:rsidRPr="00A14114" w:rsidRDefault="00333B3D" w:rsidP="00F32ADC">
      <w:pPr>
        <w:numPr>
          <w:ilvl w:val="0"/>
          <w:numId w:val="4"/>
        </w:numPr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La audiencia parlamentaria</w:t>
      </w:r>
      <w:r w:rsidR="00F32ADC" w:rsidRPr="00A14114">
        <w:rPr>
          <w:rFonts w:ascii="Arial" w:hAnsi="Arial" w:cs="Arial"/>
          <w:lang w:val="es-NI"/>
        </w:rPr>
        <w:t xml:space="preserve"> (NA6E)</w:t>
      </w:r>
    </w:p>
    <w:p w:rsidR="00F32ADC" w:rsidRPr="00A14114" w:rsidRDefault="00F32ADC" w:rsidP="00F32ADC">
      <w:pPr>
        <w:rPr>
          <w:rFonts w:ascii="Arial" w:hAnsi="Arial" w:cs="Arial"/>
          <w:b/>
          <w:lang w:val="es-NI"/>
        </w:rPr>
      </w:pPr>
    </w:p>
    <w:p w:rsidR="00F32ADC" w:rsidRPr="00A14114" w:rsidRDefault="00872A85" w:rsidP="00F32ADC">
      <w:pPr>
        <w:rPr>
          <w:rFonts w:ascii="Arial" w:hAnsi="Arial" w:cs="Arial"/>
          <w:b/>
          <w:sz w:val="28"/>
          <w:szCs w:val="28"/>
          <w:lang w:val="es-NI"/>
        </w:rPr>
      </w:pPr>
      <w:r w:rsidRPr="00A14114">
        <w:rPr>
          <w:rFonts w:ascii="Arial" w:hAnsi="Arial" w:cs="Arial"/>
          <w:b/>
          <w:sz w:val="28"/>
          <w:szCs w:val="28"/>
          <w:lang w:val="es-NI"/>
        </w:rPr>
        <w:t xml:space="preserve">Preparación </w:t>
      </w:r>
      <w:r w:rsidR="00F32ADC" w:rsidRPr="00A14114">
        <w:rPr>
          <w:rFonts w:ascii="Arial" w:hAnsi="Arial" w:cs="Arial"/>
          <w:b/>
          <w:sz w:val="28"/>
          <w:szCs w:val="28"/>
          <w:lang w:val="es-NI"/>
        </w:rPr>
        <w:t>Requ</w:t>
      </w:r>
      <w:r w:rsidRPr="00A14114">
        <w:rPr>
          <w:rFonts w:ascii="Arial" w:hAnsi="Arial" w:cs="Arial"/>
          <w:b/>
          <w:sz w:val="28"/>
          <w:szCs w:val="28"/>
          <w:lang w:val="es-NI"/>
        </w:rPr>
        <w:t>e</w:t>
      </w:r>
      <w:r w:rsidR="00F32ADC" w:rsidRPr="00A14114">
        <w:rPr>
          <w:rFonts w:ascii="Arial" w:hAnsi="Arial" w:cs="Arial"/>
          <w:b/>
          <w:sz w:val="28"/>
          <w:szCs w:val="28"/>
          <w:lang w:val="es-NI"/>
        </w:rPr>
        <w:t>r</w:t>
      </w:r>
      <w:r w:rsidRPr="00A14114">
        <w:rPr>
          <w:rFonts w:ascii="Arial" w:hAnsi="Arial" w:cs="Arial"/>
          <w:b/>
          <w:sz w:val="28"/>
          <w:szCs w:val="28"/>
          <w:lang w:val="es-NI"/>
        </w:rPr>
        <w:t>i</w:t>
      </w:r>
      <w:r w:rsidR="00F32ADC" w:rsidRPr="00A14114">
        <w:rPr>
          <w:rFonts w:ascii="Arial" w:hAnsi="Arial" w:cs="Arial"/>
          <w:b/>
          <w:sz w:val="28"/>
          <w:szCs w:val="28"/>
          <w:lang w:val="es-NI"/>
        </w:rPr>
        <w:t>d</w:t>
      </w:r>
      <w:r w:rsidRPr="00A14114">
        <w:rPr>
          <w:rFonts w:ascii="Arial" w:hAnsi="Arial" w:cs="Arial"/>
          <w:b/>
          <w:sz w:val="28"/>
          <w:szCs w:val="28"/>
          <w:lang w:val="es-NI"/>
        </w:rPr>
        <w:t>a</w:t>
      </w:r>
      <w:r w:rsidR="00F32ADC" w:rsidRPr="00A14114">
        <w:rPr>
          <w:rFonts w:ascii="Arial" w:hAnsi="Arial" w:cs="Arial"/>
          <w:b/>
          <w:sz w:val="28"/>
          <w:szCs w:val="28"/>
          <w:lang w:val="es-NI"/>
        </w:rPr>
        <w:t xml:space="preserve"> </w:t>
      </w:r>
    </w:p>
    <w:p w:rsidR="00F32ADC" w:rsidRPr="00A14114" w:rsidRDefault="00F32ADC" w:rsidP="00F32ADC">
      <w:pPr>
        <w:rPr>
          <w:rFonts w:ascii="Arial" w:hAnsi="Arial" w:cs="Arial"/>
          <w:b/>
          <w:lang w:val="es-NI"/>
        </w:rPr>
      </w:pPr>
    </w:p>
    <w:p w:rsidR="00F32ADC" w:rsidRPr="007E33DD" w:rsidRDefault="00122377" w:rsidP="00B85A74">
      <w:pPr>
        <w:numPr>
          <w:ilvl w:val="0"/>
          <w:numId w:val="4"/>
        </w:numPr>
        <w:jc w:val="both"/>
        <w:rPr>
          <w:rFonts w:ascii="Arial" w:hAnsi="Arial" w:cs="Arial"/>
          <w:lang w:val="es-NI"/>
        </w:rPr>
      </w:pPr>
      <w:r w:rsidRPr="007E33DD">
        <w:rPr>
          <w:rFonts w:ascii="Arial" w:hAnsi="Arial" w:cs="Arial"/>
          <w:lang w:val="es-NI"/>
        </w:rPr>
        <w:t>Todos los participantes deberán leer un artículo de la web sobre la incidencia presupuestaria de la planificación familiar a nivel de condado en Kenia, que está disponible en</w:t>
      </w:r>
      <w:r w:rsidR="00F32ADC" w:rsidRPr="007E33DD">
        <w:rPr>
          <w:rFonts w:ascii="Arial" w:hAnsi="Arial" w:cs="Arial"/>
          <w:lang w:val="es-NI"/>
        </w:rPr>
        <w:t>:</w:t>
      </w:r>
      <w:r w:rsidR="007E33DD" w:rsidRPr="007E33DD">
        <w:rPr>
          <w:rFonts w:ascii="Arial" w:hAnsi="Arial" w:cs="Arial"/>
          <w:lang w:val="es-NI"/>
        </w:rPr>
        <w:t xml:space="preserve"> </w:t>
      </w:r>
      <w:hyperlink r:id="rId8" w:history="1">
        <w:r w:rsidR="00F32ADC" w:rsidRPr="007E33DD">
          <w:rPr>
            <w:rStyle w:val="Hipervnculo"/>
            <w:rFonts w:ascii="Arial" w:hAnsi="Arial" w:cs="Arial"/>
            <w:lang w:val="es-NI"/>
          </w:rPr>
          <w:t>www.prb.org/Publications/Articles/2015/kenya-county-advocacy.aspx</w:t>
        </w:r>
      </w:hyperlink>
    </w:p>
    <w:p w:rsidR="00F32ADC" w:rsidRPr="00A14114" w:rsidRDefault="00122377" w:rsidP="007E33DD">
      <w:pPr>
        <w:numPr>
          <w:ilvl w:val="0"/>
          <w:numId w:val="4"/>
        </w:numPr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Los participantes deberán leer un resumen sobre la incidencia presupuestaria de salud en Uganda, que está disponible en</w:t>
      </w:r>
      <w:r w:rsidR="00F32ADC" w:rsidRPr="00A14114">
        <w:rPr>
          <w:rFonts w:ascii="Arial" w:hAnsi="Arial" w:cs="Arial"/>
          <w:lang w:val="es-NI"/>
        </w:rPr>
        <w:t xml:space="preserve">: </w:t>
      </w:r>
      <w:hyperlink r:id="rId9" w:history="1">
        <w:r w:rsidR="00F32ADC" w:rsidRPr="00A14114">
          <w:rPr>
            <w:rStyle w:val="Hipervnculo"/>
            <w:rFonts w:ascii="Arial" w:hAnsi="Arial" w:cs="Arial"/>
            <w:lang w:val="es-NI"/>
          </w:rPr>
          <w:t>www.internationalbudget.org/wp-content/uploads/case-study-summary-uganda-human-resources-for-health-2015.pdf</w:t>
        </w:r>
      </w:hyperlink>
      <w:r w:rsidR="00F32ADC" w:rsidRPr="00A14114">
        <w:rPr>
          <w:rFonts w:ascii="Arial" w:hAnsi="Arial" w:cs="Arial"/>
          <w:lang w:val="es-NI"/>
        </w:rPr>
        <w:t xml:space="preserve">, </w:t>
      </w:r>
      <w:r>
        <w:rPr>
          <w:rFonts w:ascii="Arial" w:hAnsi="Arial" w:cs="Arial"/>
          <w:lang w:val="es-NI"/>
        </w:rPr>
        <w:t xml:space="preserve"> al igual que dos secciones de todo el caso práctico: “la colaboración entre el comité de servicio social del parlamento y las </w:t>
      </w:r>
      <w:proofErr w:type="spellStart"/>
      <w:r>
        <w:rPr>
          <w:rFonts w:ascii="Arial" w:hAnsi="Arial" w:cs="Arial"/>
          <w:lang w:val="es-NI"/>
        </w:rPr>
        <w:t>OSC’s</w:t>
      </w:r>
      <w:proofErr w:type="spellEnd"/>
      <w:r>
        <w:rPr>
          <w:rFonts w:ascii="Arial" w:hAnsi="Arial" w:cs="Arial"/>
          <w:lang w:val="es-NI"/>
        </w:rPr>
        <w:t>”</w:t>
      </w:r>
      <w:r w:rsidR="00F32ADC" w:rsidRPr="00A14114">
        <w:rPr>
          <w:rFonts w:ascii="Arial" w:hAnsi="Arial" w:cs="Arial"/>
          <w:lang w:val="es-NI"/>
        </w:rPr>
        <w:t xml:space="preserve"> (pp. 15-17)</w:t>
      </w:r>
      <w:r>
        <w:rPr>
          <w:rFonts w:ascii="Arial" w:hAnsi="Arial" w:cs="Arial"/>
          <w:lang w:val="es-NI"/>
        </w:rPr>
        <w:t xml:space="preserve"> y</w:t>
      </w:r>
      <w:r w:rsidR="00F32ADC" w:rsidRPr="00A14114">
        <w:rPr>
          <w:rFonts w:ascii="Arial" w:hAnsi="Arial" w:cs="Arial"/>
          <w:lang w:val="es-NI"/>
        </w:rPr>
        <w:t xml:space="preserve"> </w:t>
      </w:r>
      <w:r>
        <w:rPr>
          <w:rFonts w:ascii="Arial" w:hAnsi="Arial" w:cs="Arial"/>
          <w:lang w:val="es-NI"/>
        </w:rPr>
        <w:t xml:space="preserve">“una cronología de los grandes eventos en la campaña” </w:t>
      </w:r>
      <w:r w:rsidR="00F32ADC" w:rsidRPr="00A14114">
        <w:rPr>
          <w:rFonts w:ascii="Arial" w:hAnsi="Arial" w:cs="Arial"/>
          <w:lang w:val="es-NI"/>
        </w:rPr>
        <w:t xml:space="preserve">(pp. 23-28), </w:t>
      </w:r>
      <w:r>
        <w:rPr>
          <w:rFonts w:ascii="Arial" w:hAnsi="Arial" w:cs="Arial"/>
          <w:lang w:val="es-NI"/>
        </w:rPr>
        <w:t>que está disponible en</w:t>
      </w:r>
      <w:r w:rsidR="00F32ADC" w:rsidRPr="00A14114">
        <w:rPr>
          <w:rFonts w:ascii="Arial" w:hAnsi="Arial" w:cs="Arial"/>
          <w:lang w:val="es-NI"/>
        </w:rPr>
        <w:t xml:space="preserve">: </w:t>
      </w:r>
      <w:hyperlink r:id="rId10" w:history="1">
        <w:r w:rsidR="00F32ADC" w:rsidRPr="00A14114">
          <w:rPr>
            <w:rStyle w:val="Hipervnculo"/>
            <w:rFonts w:ascii="Arial" w:hAnsi="Arial" w:cs="Arial"/>
            <w:lang w:val="es-NI"/>
          </w:rPr>
          <w:t>www.internationalbudget.org/wp-content/uploads/case-study-full-uganda-human-resources-for-health-2015.pdf</w:t>
        </w:r>
      </w:hyperlink>
      <w:r w:rsidR="00F32ADC" w:rsidRPr="00A14114">
        <w:rPr>
          <w:rFonts w:ascii="Arial" w:hAnsi="Arial" w:cs="Arial"/>
          <w:lang w:val="es-NI"/>
        </w:rPr>
        <w:t xml:space="preserve"> </w:t>
      </w:r>
    </w:p>
    <w:p w:rsidR="00F32ADC" w:rsidRPr="00A14114" w:rsidRDefault="00F32ADC" w:rsidP="00F32ADC">
      <w:pPr>
        <w:rPr>
          <w:rFonts w:ascii="Arial" w:hAnsi="Arial" w:cs="Arial"/>
          <w:lang w:val="es-NI"/>
        </w:rPr>
      </w:pPr>
    </w:p>
    <w:sectPr w:rsidR="00F32ADC" w:rsidRPr="00A14114" w:rsidSect="00AB7B09">
      <w:headerReference w:type="even" r:id="rId11"/>
      <w:headerReference w:type="default" r:id="rId12"/>
      <w:pgSz w:w="12240" w:h="15840"/>
      <w:pgMar w:top="1440" w:right="108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44CF" w:rsidRDefault="009F44CF">
      <w:r>
        <w:separator/>
      </w:r>
    </w:p>
  </w:endnote>
  <w:endnote w:type="continuationSeparator" w:id="0">
    <w:p w:rsidR="009F44CF" w:rsidRDefault="009F4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44CF" w:rsidRDefault="009F44CF">
      <w:r>
        <w:separator/>
      </w:r>
    </w:p>
  </w:footnote>
  <w:footnote w:type="continuationSeparator" w:id="0">
    <w:p w:rsidR="009F44CF" w:rsidRDefault="009F44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7D7" w:rsidRDefault="005A07D7" w:rsidP="005A07D7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proofErr w:type="spellStart"/>
    <w:r>
      <w:rPr>
        <w:rFonts w:ascii="Arial" w:hAnsi="Arial" w:cs="Arial"/>
        <w:color w:val="404040"/>
        <w:sz w:val="28"/>
        <w:szCs w:val="28"/>
        <w:lang w:val="es-NI"/>
      </w:rPr>
      <w:t>Policy</w:t>
    </w:r>
    <w:proofErr w:type="spellEnd"/>
    <w:r>
      <w:rPr>
        <w:rFonts w:ascii="Arial" w:hAnsi="Arial" w:cs="Arial"/>
        <w:color w:val="404040"/>
        <w:sz w:val="28"/>
        <w:szCs w:val="28"/>
        <w:lang w:val="es-NI"/>
      </w:rPr>
      <w:t xml:space="preserve"> </w:t>
    </w:r>
    <w:proofErr w:type="spellStart"/>
    <w:r>
      <w:rPr>
        <w:rFonts w:ascii="Arial" w:hAnsi="Arial" w:cs="Arial"/>
        <w:color w:val="404040"/>
        <w:sz w:val="28"/>
        <w:szCs w:val="28"/>
        <w:lang w:val="es-NI"/>
      </w:rPr>
      <w:t>Communication</w:t>
    </w:r>
    <w:proofErr w:type="spellEnd"/>
    <w:r>
      <w:rPr>
        <w:rFonts w:ascii="Arial" w:hAnsi="Arial" w:cs="Arial"/>
        <w:color w:val="404040"/>
        <w:sz w:val="28"/>
        <w:szCs w:val="28"/>
        <w:lang w:val="es-NI"/>
      </w:rPr>
      <w:t xml:space="preserve"> Training </w:t>
    </w:r>
    <w:proofErr w:type="spellStart"/>
    <w:r>
      <w:rPr>
        <w:rFonts w:ascii="Arial" w:hAnsi="Arial" w:cs="Arial"/>
        <w:color w:val="404040"/>
        <w:sz w:val="28"/>
        <w:szCs w:val="28"/>
        <w:lang w:val="es-NI"/>
      </w:rPr>
      <w:t>Toolkit</w:t>
    </w:r>
    <w:proofErr w:type="spellEnd"/>
  </w:p>
  <w:p w:rsidR="005A07D7" w:rsidRDefault="005A07D7" w:rsidP="005A07D7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proofErr w:type="spellStart"/>
    <w:r>
      <w:rPr>
        <w:rFonts w:ascii="Arial" w:hAnsi="Arial" w:cs="Arial"/>
        <w:color w:val="404040"/>
        <w:sz w:val="28"/>
        <w:szCs w:val="28"/>
        <w:lang w:val="es-NI"/>
      </w:rPr>
      <w:t>Toolkit</w:t>
    </w:r>
    <w:proofErr w:type="spellEnd"/>
    <w:r>
      <w:rPr>
        <w:rFonts w:ascii="Arial" w:hAnsi="Arial" w:cs="Arial"/>
        <w:color w:val="404040"/>
        <w:sz w:val="28"/>
        <w:szCs w:val="28"/>
        <w:lang w:val="es-NI"/>
      </w:rPr>
      <w:t xml:space="preserve"> de Capacitación para la Comunicación de Políticas</w:t>
    </w:r>
  </w:p>
  <w:p w:rsidR="005A07D7" w:rsidRDefault="005A07D7" w:rsidP="005A07D7">
    <w:pPr>
      <w:ind w:right="90"/>
      <w:jc w:val="right"/>
    </w:pPr>
    <w:r>
      <w:rPr>
        <w:rFonts w:ascii="Arial" w:hAnsi="Arial" w:cs="Arial"/>
        <w:smallCaps/>
        <w:sz w:val="36"/>
        <w:szCs w:val="36"/>
        <w:lang w:val="es-NI"/>
      </w:rPr>
      <w:t>FACILITATOR GUIDE-GUIA DEL FACILITADOR</w:t>
    </w:r>
  </w:p>
  <w:p w:rsidR="00AB7B09" w:rsidRDefault="00AB7B0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3DD" w:rsidRDefault="007E33DD" w:rsidP="007E33DD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proofErr w:type="spellStart"/>
    <w:r>
      <w:rPr>
        <w:rFonts w:ascii="Arial" w:hAnsi="Arial" w:cs="Arial"/>
        <w:color w:val="404040"/>
        <w:sz w:val="28"/>
        <w:szCs w:val="28"/>
        <w:lang w:val="es-NI"/>
      </w:rPr>
      <w:t>Policy</w:t>
    </w:r>
    <w:proofErr w:type="spellEnd"/>
    <w:r>
      <w:rPr>
        <w:rFonts w:ascii="Arial" w:hAnsi="Arial" w:cs="Arial"/>
        <w:color w:val="404040"/>
        <w:sz w:val="28"/>
        <w:szCs w:val="28"/>
        <w:lang w:val="es-NI"/>
      </w:rPr>
      <w:t xml:space="preserve"> </w:t>
    </w:r>
    <w:proofErr w:type="spellStart"/>
    <w:r>
      <w:rPr>
        <w:rFonts w:ascii="Arial" w:hAnsi="Arial" w:cs="Arial"/>
        <w:color w:val="404040"/>
        <w:sz w:val="28"/>
        <w:szCs w:val="28"/>
        <w:lang w:val="es-NI"/>
      </w:rPr>
      <w:t>Communication</w:t>
    </w:r>
    <w:proofErr w:type="spellEnd"/>
    <w:r>
      <w:rPr>
        <w:rFonts w:ascii="Arial" w:hAnsi="Arial" w:cs="Arial"/>
        <w:color w:val="404040"/>
        <w:sz w:val="28"/>
        <w:szCs w:val="28"/>
        <w:lang w:val="es-NI"/>
      </w:rPr>
      <w:t xml:space="preserve"> Training </w:t>
    </w:r>
    <w:proofErr w:type="spellStart"/>
    <w:r>
      <w:rPr>
        <w:rFonts w:ascii="Arial" w:hAnsi="Arial" w:cs="Arial"/>
        <w:color w:val="404040"/>
        <w:sz w:val="28"/>
        <w:szCs w:val="28"/>
        <w:lang w:val="es-NI"/>
      </w:rPr>
      <w:t>Toolkit</w:t>
    </w:r>
    <w:proofErr w:type="spellEnd"/>
  </w:p>
  <w:p w:rsidR="007E33DD" w:rsidRDefault="007E33DD" w:rsidP="007E33DD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proofErr w:type="spellStart"/>
    <w:r>
      <w:rPr>
        <w:rFonts w:ascii="Arial" w:hAnsi="Arial" w:cs="Arial"/>
        <w:color w:val="404040"/>
        <w:sz w:val="28"/>
        <w:szCs w:val="28"/>
        <w:lang w:val="es-NI"/>
      </w:rPr>
      <w:t>Toolkit</w:t>
    </w:r>
    <w:proofErr w:type="spellEnd"/>
    <w:r>
      <w:rPr>
        <w:rFonts w:ascii="Arial" w:hAnsi="Arial" w:cs="Arial"/>
        <w:color w:val="404040"/>
        <w:sz w:val="28"/>
        <w:szCs w:val="28"/>
        <w:lang w:val="es-NI"/>
      </w:rPr>
      <w:t xml:space="preserve"> de Capacitación para la Comunicación de Políticas</w:t>
    </w:r>
  </w:p>
  <w:p w:rsidR="007E33DD" w:rsidRDefault="007E33DD" w:rsidP="007E33DD">
    <w:pPr>
      <w:ind w:right="90"/>
      <w:jc w:val="right"/>
    </w:pPr>
    <w:r>
      <w:rPr>
        <w:rFonts w:ascii="Arial" w:hAnsi="Arial" w:cs="Arial"/>
        <w:smallCaps/>
        <w:sz w:val="36"/>
        <w:szCs w:val="36"/>
        <w:lang w:val="es-NI"/>
      </w:rPr>
      <w:t>FACILITATOR GUIDE-GUIA DEL FACILITADOR</w:t>
    </w:r>
  </w:p>
  <w:p w:rsidR="000C0826" w:rsidRPr="001A46D7" w:rsidRDefault="000C0826" w:rsidP="00AD4263">
    <w:pPr>
      <w:pStyle w:val="Encabezado"/>
      <w:jc w:val="right"/>
      <w:rPr>
        <w:lang w:val="es-N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741AD"/>
    <w:multiLevelType w:val="hybridMultilevel"/>
    <w:tmpl w:val="B5528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337F4"/>
    <w:multiLevelType w:val="hybridMultilevel"/>
    <w:tmpl w:val="967CB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237E69"/>
    <w:multiLevelType w:val="hybridMultilevel"/>
    <w:tmpl w:val="B6AA4E04"/>
    <w:lvl w:ilvl="0" w:tplc="517C902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8CBFC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62493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D0E43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12226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7E9FB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DC12E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16266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90614B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C10BA"/>
    <w:multiLevelType w:val="hybridMultilevel"/>
    <w:tmpl w:val="BE88E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74458D"/>
    <w:multiLevelType w:val="hybridMultilevel"/>
    <w:tmpl w:val="E53E3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D9035A"/>
    <w:multiLevelType w:val="hybridMultilevel"/>
    <w:tmpl w:val="9CEC9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5C38AB"/>
    <w:multiLevelType w:val="hybridMultilevel"/>
    <w:tmpl w:val="10C6E2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6F057E"/>
    <w:multiLevelType w:val="hybridMultilevel"/>
    <w:tmpl w:val="2CF28D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021AC8"/>
    <w:multiLevelType w:val="hybridMultilevel"/>
    <w:tmpl w:val="591876C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"/>
  </w:num>
  <w:num w:numId="4">
    <w:abstractNumId w:val="8"/>
  </w:num>
  <w:num w:numId="5">
    <w:abstractNumId w:val="9"/>
  </w:num>
  <w:num w:numId="6">
    <w:abstractNumId w:val="3"/>
  </w:num>
  <w:num w:numId="7">
    <w:abstractNumId w:val="0"/>
  </w:num>
  <w:num w:numId="8">
    <w:abstractNumId w:val="12"/>
  </w:num>
  <w:num w:numId="9">
    <w:abstractNumId w:val="7"/>
  </w:num>
  <w:num w:numId="10">
    <w:abstractNumId w:val="10"/>
  </w:num>
  <w:num w:numId="11">
    <w:abstractNumId w:val="2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668"/>
    <w:rsid w:val="0001447C"/>
    <w:rsid w:val="00016AFD"/>
    <w:rsid w:val="00020634"/>
    <w:rsid w:val="0002229B"/>
    <w:rsid w:val="00027C12"/>
    <w:rsid w:val="00042382"/>
    <w:rsid w:val="00047C2E"/>
    <w:rsid w:val="00063F76"/>
    <w:rsid w:val="000B1AC4"/>
    <w:rsid w:val="000B2CC9"/>
    <w:rsid w:val="000C0826"/>
    <w:rsid w:val="000F0903"/>
    <w:rsid w:val="000F379A"/>
    <w:rsid w:val="001021DB"/>
    <w:rsid w:val="00122377"/>
    <w:rsid w:val="0013687F"/>
    <w:rsid w:val="00143554"/>
    <w:rsid w:val="00150167"/>
    <w:rsid w:val="00160E8A"/>
    <w:rsid w:val="00165FE8"/>
    <w:rsid w:val="00185E26"/>
    <w:rsid w:val="001948CE"/>
    <w:rsid w:val="001A46D7"/>
    <w:rsid w:val="001B53E9"/>
    <w:rsid w:val="001B5702"/>
    <w:rsid w:val="001C0995"/>
    <w:rsid w:val="001C5771"/>
    <w:rsid w:val="001E0E6B"/>
    <w:rsid w:val="001E48D2"/>
    <w:rsid w:val="00201599"/>
    <w:rsid w:val="00202D08"/>
    <w:rsid w:val="0021384F"/>
    <w:rsid w:val="00214B07"/>
    <w:rsid w:val="002244F2"/>
    <w:rsid w:val="0025508B"/>
    <w:rsid w:val="00261168"/>
    <w:rsid w:val="0028067B"/>
    <w:rsid w:val="00297721"/>
    <w:rsid w:val="002A4052"/>
    <w:rsid w:val="002A7D1F"/>
    <w:rsid w:val="002C2300"/>
    <w:rsid w:val="002C3259"/>
    <w:rsid w:val="002F295C"/>
    <w:rsid w:val="003055A6"/>
    <w:rsid w:val="00313C92"/>
    <w:rsid w:val="003322D7"/>
    <w:rsid w:val="00333B3D"/>
    <w:rsid w:val="003362AB"/>
    <w:rsid w:val="00342FF5"/>
    <w:rsid w:val="00373B08"/>
    <w:rsid w:val="003922BC"/>
    <w:rsid w:val="003B073E"/>
    <w:rsid w:val="003C1B0A"/>
    <w:rsid w:val="003F7C2B"/>
    <w:rsid w:val="003F7FD6"/>
    <w:rsid w:val="00416B64"/>
    <w:rsid w:val="00434D20"/>
    <w:rsid w:val="00440096"/>
    <w:rsid w:val="0044614E"/>
    <w:rsid w:val="00467590"/>
    <w:rsid w:val="00475332"/>
    <w:rsid w:val="004826C0"/>
    <w:rsid w:val="00482FAD"/>
    <w:rsid w:val="004848AE"/>
    <w:rsid w:val="00493BAB"/>
    <w:rsid w:val="004C1060"/>
    <w:rsid w:val="004C543D"/>
    <w:rsid w:val="004D2C6A"/>
    <w:rsid w:val="004D4668"/>
    <w:rsid w:val="004E4806"/>
    <w:rsid w:val="004F1931"/>
    <w:rsid w:val="005323B6"/>
    <w:rsid w:val="005555DE"/>
    <w:rsid w:val="00567153"/>
    <w:rsid w:val="005717B6"/>
    <w:rsid w:val="005859D6"/>
    <w:rsid w:val="005A07D7"/>
    <w:rsid w:val="005A7DF5"/>
    <w:rsid w:val="005D7B01"/>
    <w:rsid w:val="00605F66"/>
    <w:rsid w:val="006438CA"/>
    <w:rsid w:val="0064765B"/>
    <w:rsid w:val="006619E3"/>
    <w:rsid w:val="0066428E"/>
    <w:rsid w:val="006F57C2"/>
    <w:rsid w:val="00721C64"/>
    <w:rsid w:val="00724393"/>
    <w:rsid w:val="00730270"/>
    <w:rsid w:val="0073197F"/>
    <w:rsid w:val="00745F84"/>
    <w:rsid w:val="007509AE"/>
    <w:rsid w:val="0078503E"/>
    <w:rsid w:val="0079707B"/>
    <w:rsid w:val="007A1A39"/>
    <w:rsid w:val="007A1C26"/>
    <w:rsid w:val="007A3060"/>
    <w:rsid w:val="007A3249"/>
    <w:rsid w:val="007B3631"/>
    <w:rsid w:val="007B603F"/>
    <w:rsid w:val="007D4E76"/>
    <w:rsid w:val="007E0C15"/>
    <w:rsid w:val="007E33DD"/>
    <w:rsid w:val="007F154F"/>
    <w:rsid w:val="00812D34"/>
    <w:rsid w:val="00822E90"/>
    <w:rsid w:val="008238D1"/>
    <w:rsid w:val="00872A85"/>
    <w:rsid w:val="00873504"/>
    <w:rsid w:val="00874EA4"/>
    <w:rsid w:val="008D35E7"/>
    <w:rsid w:val="008E0644"/>
    <w:rsid w:val="00923CA0"/>
    <w:rsid w:val="00931C0E"/>
    <w:rsid w:val="00950CEE"/>
    <w:rsid w:val="0095260A"/>
    <w:rsid w:val="00991F5E"/>
    <w:rsid w:val="009A2F29"/>
    <w:rsid w:val="009A72DC"/>
    <w:rsid w:val="009C3C91"/>
    <w:rsid w:val="009E7F36"/>
    <w:rsid w:val="009F08C9"/>
    <w:rsid w:val="009F44CF"/>
    <w:rsid w:val="00A026D4"/>
    <w:rsid w:val="00A14114"/>
    <w:rsid w:val="00A46BB1"/>
    <w:rsid w:val="00AB7B09"/>
    <w:rsid w:val="00AD4263"/>
    <w:rsid w:val="00AE1FEF"/>
    <w:rsid w:val="00AE4597"/>
    <w:rsid w:val="00AE46FB"/>
    <w:rsid w:val="00AE70AC"/>
    <w:rsid w:val="00B0202A"/>
    <w:rsid w:val="00B14B9E"/>
    <w:rsid w:val="00B5591F"/>
    <w:rsid w:val="00B57091"/>
    <w:rsid w:val="00B62FAE"/>
    <w:rsid w:val="00B6308A"/>
    <w:rsid w:val="00B70A0A"/>
    <w:rsid w:val="00B72666"/>
    <w:rsid w:val="00B863CC"/>
    <w:rsid w:val="00BB1A96"/>
    <w:rsid w:val="00BB6A2B"/>
    <w:rsid w:val="00BE5554"/>
    <w:rsid w:val="00BF036F"/>
    <w:rsid w:val="00BF131B"/>
    <w:rsid w:val="00C25D01"/>
    <w:rsid w:val="00C3453E"/>
    <w:rsid w:val="00C40AB7"/>
    <w:rsid w:val="00C5162D"/>
    <w:rsid w:val="00C57B82"/>
    <w:rsid w:val="00C626F8"/>
    <w:rsid w:val="00C71220"/>
    <w:rsid w:val="00C90F4D"/>
    <w:rsid w:val="00CB0AD1"/>
    <w:rsid w:val="00CB3B1C"/>
    <w:rsid w:val="00CE791F"/>
    <w:rsid w:val="00D0013B"/>
    <w:rsid w:val="00D155BD"/>
    <w:rsid w:val="00D35454"/>
    <w:rsid w:val="00D40851"/>
    <w:rsid w:val="00D50C95"/>
    <w:rsid w:val="00D50D54"/>
    <w:rsid w:val="00D6742F"/>
    <w:rsid w:val="00D777CF"/>
    <w:rsid w:val="00D812C2"/>
    <w:rsid w:val="00D918CF"/>
    <w:rsid w:val="00DA2C1C"/>
    <w:rsid w:val="00DB627C"/>
    <w:rsid w:val="00DC29B3"/>
    <w:rsid w:val="00DF14A2"/>
    <w:rsid w:val="00E16664"/>
    <w:rsid w:val="00E243A7"/>
    <w:rsid w:val="00E36F23"/>
    <w:rsid w:val="00E70433"/>
    <w:rsid w:val="00EA5C6D"/>
    <w:rsid w:val="00EB23C7"/>
    <w:rsid w:val="00ED11A9"/>
    <w:rsid w:val="00ED7720"/>
    <w:rsid w:val="00EF130F"/>
    <w:rsid w:val="00F054CB"/>
    <w:rsid w:val="00F32532"/>
    <w:rsid w:val="00F32ADC"/>
    <w:rsid w:val="00F55C79"/>
    <w:rsid w:val="00F75F1A"/>
    <w:rsid w:val="00F941D6"/>
    <w:rsid w:val="00F94F27"/>
    <w:rsid w:val="00FC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C7E87A6-1124-483D-AC1B-70716261E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4D4668"/>
    <w:pPr>
      <w:tabs>
        <w:tab w:val="center" w:pos="4320"/>
        <w:tab w:val="right" w:pos="8640"/>
      </w:tabs>
    </w:pPr>
  </w:style>
  <w:style w:type="paragraph" w:styleId="Textodeglobo">
    <w:name w:val="Balloon Text"/>
    <w:basedOn w:val="Normal"/>
    <w:link w:val="TextodegloboCar"/>
    <w:rsid w:val="00745F8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745F8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75F1A"/>
    <w:pPr>
      <w:ind w:left="720"/>
      <w:contextualSpacing/>
    </w:pPr>
  </w:style>
  <w:style w:type="character" w:styleId="Hipervnculo">
    <w:name w:val="Hyperlink"/>
    <w:basedOn w:val="Fuentedeprrafopredeter"/>
    <w:unhideWhenUsed/>
    <w:rsid w:val="00F75F1A"/>
    <w:rPr>
      <w:color w:val="0000FF" w:themeColor="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A1411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A14114"/>
  </w:style>
  <w:style w:type="character" w:styleId="Refdenotaalpie">
    <w:name w:val="footnote reference"/>
    <w:basedOn w:val="Fuentedeprrafopredeter"/>
    <w:semiHidden/>
    <w:unhideWhenUsed/>
    <w:rsid w:val="00A141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3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663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6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b.org/Publications/Articles/2015/kenya-county-advocacy.asp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internationalbudget.org/wp-content/uploads/case-study-full-uganda-human-resources-for-health-2015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nternationalbudget.org/wp-content/uploads/case-study-summary-uganda-human-resources-for-health-2015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5FAF4-027D-4878-9ACC-B516D9988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Policy Communication Fellows - Facilitator Worksheets</vt:lpstr>
      <vt:lpstr>Policy Communication Fellows - Facilitator Worksheets</vt:lpstr>
    </vt:vector>
  </TitlesOfParts>
  <Company>PRB</Company>
  <LinksUpToDate>false</LinksUpToDate>
  <CharactersWithSpaces>2612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Lic. Edwing Salvatore Obando</cp:lastModifiedBy>
  <cp:revision>3</cp:revision>
  <dcterms:created xsi:type="dcterms:W3CDTF">2018-09-20T07:20:00Z</dcterms:created>
  <dcterms:modified xsi:type="dcterms:W3CDTF">2018-09-20T14:59:00Z</dcterms:modified>
</cp:coreProperties>
</file>