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BF0" w:rsidRPr="00643B9A" w:rsidRDefault="001825EF" w:rsidP="00FE319E">
      <w:pPr>
        <w:jc w:val="both"/>
        <w:rPr>
          <w:b/>
          <w:lang w:val="es-NI"/>
        </w:rPr>
      </w:pPr>
      <w:r>
        <w:rPr>
          <w:rFonts w:eastAsia="Calibri" w:cs="Calibri"/>
          <w:b/>
          <w:bCs/>
          <w:bdr w:val="nil"/>
          <w:lang w:val="es-ES"/>
        </w:rPr>
        <w:t>PRB: Los jóvenes son clave para hacer frente a las enfermedades no transmisibles en África</w:t>
      </w:r>
    </w:p>
    <w:p w:rsidR="00140BF0" w:rsidRPr="00643B9A" w:rsidRDefault="00FE319E" w:rsidP="00FE319E">
      <w:pPr>
        <w:jc w:val="both"/>
        <w:rPr>
          <w:lang w:val="es-NI"/>
        </w:rPr>
      </w:pPr>
    </w:p>
    <w:p w:rsidR="00140BF0" w:rsidRPr="00FE319E" w:rsidRDefault="001825EF" w:rsidP="00FE319E">
      <w:pPr>
        <w:jc w:val="both"/>
        <w:rPr>
          <w:lang w:val="es-NI"/>
        </w:rPr>
      </w:pPr>
      <w:r w:rsidRPr="00FE319E">
        <w:rPr>
          <w:rFonts w:eastAsia="Calibri" w:cs="Calibri"/>
          <w:bdr w:val="nil"/>
          <w:lang w:val="es-ES"/>
        </w:rPr>
        <w:t xml:space="preserve">NAIROBI, 20 de abril de 2015--Establecer comportamientos saludables entre jóvenes africanos podría ayudar a frenar una inminente epidemia regional de enfermedades no transmisibles como cáncer, diabetes, enfermedades cardiovasculares y respiratorias crónicas, según el </w:t>
      </w:r>
      <w:hyperlink r:id="rId5" w:history="1">
        <w:proofErr w:type="spellStart"/>
        <w:r w:rsidR="00643B9A" w:rsidRPr="00FE319E">
          <w:rPr>
            <w:rFonts w:eastAsia="Calibri" w:cs="Calibri"/>
            <w:color w:val="0563C1"/>
            <w:u w:val="single"/>
            <w:bdr w:val="nil"/>
            <w:lang w:val="es-ES"/>
          </w:rPr>
          <w:t>Population</w:t>
        </w:r>
        <w:proofErr w:type="spellEnd"/>
        <w:r w:rsidR="00643B9A" w:rsidRPr="00FE319E">
          <w:rPr>
            <w:rFonts w:eastAsia="Calibri" w:cs="Calibri"/>
            <w:color w:val="0563C1"/>
            <w:u w:val="single"/>
            <w:bdr w:val="nil"/>
            <w:lang w:val="es-ES"/>
          </w:rPr>
          <w:t xml:space="preserve"> Reference Bureau</w:t>
        </w:r>
      </w:hyperlink>
      <w:r w:rsidR="00643B9A" w:rsidRPr="00FE319E">
        <w:rPr>
          <w:rFonts w:eastAsia="Calibri" w:cs="Calibri"/>
          <w:bdr w:val="nil"/>
          <w:lang w:val="es-ES"/>
        </w:rPr>
        <w:t xml:space="preserve"> </w:t>
      </w:r>
      <w:r w:rsidRPr="00FE319E">
        <w:rPr>
          <w:rFonts w:eastAsia="Calibri" w:cs="Calibri"/>
          <w:bdr w:val="nil"/>
          <w:lang w:val="es-ES"/>
        </w:rPr>
        <w:t>(PRB).</w:t>
      </w:r>
    </w:p>
    <w:p w:rsidR="00140BF0" w:rsidRPr="00FE319E" w:rsidRDefault="00FE319E" w:rsidP="00FE319E">
      <w:pPr>
        <w:jc w:val="both"/>
        <w:rPr>
          <w:lang w:val="es-NI"/>
        </w:rPr>
      </w:pPr>
    </w:p>
    <w:p w:rsidR="00140BF0" w:rsidRPr="00FE319E" w:rsidRDefault="001825EF" w:rsidP="00FE319E">
      <w:pPr>
        <w:jc w:val="both"/>
        <w:rPr>
          <w:lang w:val="es-NI"/>
        </w:rPr>
      </w:pPr>
      <w:r w:rsidRPr="00FE319E">
        <w:rPr>
          <w:rFonts w:eastAsia="Calibri" w:cs="Calibri"/>
          <w:bdr w:val="nil"/>
          <w:lang w:val="es-ES"/>
        </w:rPr>
        <w:t xml:space="preserve">Las </w:t>
      </w:r>
      <w:r w:rsidR="00643B9A" w:rsidRPr="00FE319E">
        <w:rPr>
          <w:rFonts w:eastAsia="Calibri" w:cs="Calibri"/>
          <w:bdr w:val="nil"/>
          <w:lang w:val="es-ES"/>
        </w:rPr>
        <w:t>E</w:t>
      </w:r>
      <w:r w:rsidRPr="00FE319E">
        <w:rPr>
          <w:rFonts w:eastAsia="Calibri" w:cs="Calibri"/>
          <w:bdr w:val="nil"/>
          <w:lang w:val="es-ES"/>
        </w:rPr>
        <w:t xml:space="preserve">nfermedades no </w:t>
      </w:r>
      <w:r w:rsidR="00643B9A" w:rsidRPr="00FE319E">
        <w:rPr>
          <w:rFonts w:eastAsia="Calibri" w:cs="Calibri"/>
          <w:bdr w:val="nil"/>
          <w:lang w:val="es-ES"/>
        </w:rPr>
        <w:t>T</w:t>
      </w:r>
      <w:r w:rsidRPr="00FE319E">
        <w:rPr>
          <w:rFonts w:eastAsia="Calibri" w:cs="Calibri"/>
          <w:bdr w:val="nil"/>
          <w:lang w:val="es-ES"/>
        </w:rPr>
        <w:t xml:space="preserve">ransmisibles (ENT) ya son responsables de al menos tres cuartas partes de las muertes en todos los países del norte de África excepto Sudán. Con base en las tendencias actuales, la Organización Mundial de la Salud (OMS) proyecta que las ENT se convertirán en la principal causa de muerte en el África subsahariana para el año 2030, superando al sida y otras condiciones que predominan hoy en día. </w:t>
      </w:r>
    </w:p>
    <w:p w:rsidR="00140BF0" w:rsidRPr="00FE319E" w:rsidRDefault="00FE319E" w:rsidP="00FE319E">
      <w:pPr>
        <w:jc w:val="both"/>
        <w:rPr>
          <w:lang w:val="es-NI"/>
        </w:rPr>
      </w:pPr>
    </w:p>
    <w:p w:rsidR="00140BF0" w:rsidRPr="00FE319E" w:rsidRDefault="001825EF" w:rsidP="00FE319E">
      <w:pPr>
        <w:jc w:val="both"/>
        <w:rPr>
          <w:lang w:val="es-NI"/>
        </w:rPr>
      </w:pPr>
      <w:r w:rsidRPr="00FE319E">
        <w:rPr>
          <w:rFonts w:eastAsia="Calibri" w:cs="Calibri"/>
          <w:bdr w:val="nil"/>
          <w:lang w:val="es-ES"/>
        </w:rPr>
        <w:t xml:space="preserve">Los cuatro principales factores de riesgo para las ENT son el consumo de tabaco, el abuso del alcohol, la dieta poco saludable y las conductas </w:t>
      </w:r>
      <w:r w:rsidR="00643B9A" w:rsidRPr="00FE319E">
        <w:rPr>
          <w:rFonts w:eastAsia="Calibri" w:cs="Calibri"/>
          <w:bdr w:val="nil"/>
          <w:lang w:val="es-ES"/>
        </w:rPr>
        <w:t>sedentarias</w:t>
      </w:r>
      <w:r w:rsidRPr="00FE319E">
        <w:rPr>
          <w:rFonts w:eastAsia="Calibri" w:cs="Calibri"/>
          <w:bdr w:val="nil"/>
          <w:lang w:val="es-ES"/>
        </w:rPr>
        <w:t xml:space="preserve"> que a menudo se establecen en la adolescencia temprana y la adultez temprana y que preparan el terreno para las ENT más adelante en la vida. Enfocar esfuerzos en la juventud en África es fundamental debido a su gran y creciente número de jóvenes. África tiene la población más joven entre las regiones del mundo.</w:t>
      </w:r>
    </w:p>
    <w:p w:rsidR="00140BF0" w:rsidRPr="00FE319E" w:rsidRDefault="00FE319E" w:rsidP="00FE319E">
      <w:pPr>
        <w:jc w:val="both"/>
        <w:rPr>
          <w:lang w:val="es-NI"/>
        </w:rPr>
      </w:pPr>
    </w:p>
    <w:p w:rsidR="00EF42DB" w:rsidRPr="00FE319E" w:rsidRDefault="001825EF" w:rsidP="00FE319E">
      <w:pPr>
        <w:jc w:val="both"/>
        <w:rPr>
          <w:lang w:val="es-NI"/>
        </w:rPr>
      </w:pPr>
      <w:r w:rsidRPr="00FE319E">
        <w:rPr>
          <w:rFonts w:eastAsia="Calibri" w:cs="Calibri"/>
          <w:bdr w:val="nil"/>
          <w:lang w:val="es-ES"/>
        </w:rPr>
        <w:t xml:space="preserve">PRB, que es una organización no gubernamental basada en Washington, D.C., y presentó un </w:t>
      </w:r>
      <w:hyperlink r:id="rId6" w:history="1">
        <w:r w:rsidRPr="00FE319E">
          <w:rPr>
            <w:rFonts w:eastAsia="Calibri" w:cs="Calibri"/>
            <w:color w:val="0563C1"/>
            <w:u w:val="single"/>
            <w:bdr w:val="nil"/>
            <w:lang w:val="es-ES"/>
          </w:rPr>
          <w:t>informe de políticas y una ficha técnica</w:t>
        </w:r>
      </w:hyperlink>
      <w:r w:rsidRPr="00FE319E">
        <w:rPr>
          <w:rFonts w:eastAsia="Calibri" w:cs="Calibri"/>
          <w:bdr w:val="nil"/>
          <w:lang w:val="es-ES"/>
        </w:rPr>
        <w:t xml:space="preserve"> hoy en un evento de lanzamiento en Nairobi que brinda información sobre factores de riesgo de las ENT entre los jóvenes en África. Los informes muestran que los jóvenes en algunos países africanos ya tienen altos niveles en todos los factores de riesgo y es probable que aumenten aún más en toda la región a menos que se tomen medidas ahora. </w:t>
      </w:r>
    </w:p>
    <w:p w:rsidR="00C8595C" w:rsidRPr="00FE319E" w:rsidRDefault="00FE319E" w:rsidP="00FE319E">
      <w:pPr>
        <w:jc w:val="both"/>
        <w:rPr>
          <w:lang w:val="es-NI"/>
        </w:rPr>
      </w:pPr>
    </w:p>
    <w:p w:rsidR="00140BF0" w:rsidRPr="00FE319E" w:rsidRDefault="001825EF" w:rsidP="00FE319E">
      <w:pPr>
        <w:jc w:val="both"/>
        <w:rPr>
          <w:lang w:val="es-NI"/>
        </w:rPr>
      </w:pPr>
      <w:r w:rsidRPr="00FE319E">
        <w:rPr>
          <w:rFonts w:eastAsia="Calibri" w:cs="Calibri"/>
          <w:bdr w:val="nil"/>
          <w:lang w:val="es-ES"/>
        </w:rPr>
        <w:t xml:space="preserve">Los informes fueron respaldados por el Programa de Salud Joven de AstraZeneca (YHP por sus siglas en inglés). En el evento de Nairobi, el YHP anunció también próximas actividades en la región enfocadas en la prevención de enfermedades no transmisibles, incluyendo talleres locales y regionales implementadas por ENT Niños sobre la prevención de conductas de riesgo entre los jóvenes.  </w:t>
      </w:r>
    </w:p>
    <w:p w:rsidR="00C6325E" w:rsidRPr="00FE319E" w:rsidRDefault="00FE319E" w:rsidP="00FE319E">
      <w:pPr>
        <w:jc w:val="both"/>
        <w:rPr>
          <w:rFonts w:asciiTheme="minorHAnsi" w:hAnsiTheme="minorHAnsi"/>
          <w:color w:val="343434"/>
          <w:lang w:val="es-NI"/>
        </w:rPr>
      </w:pPr>
    </w:p>
    <w:p w:rsidR="00FE319E" w:rsidRDefault="001825EF" w:rsidP="00FE319E">
      <w:pPr>
        <w:jc w:val="both"/>
        <w:rPr>
          <w:rFonts w:eastAsia="Calibri" w:cs="Calibri"/>
          <w:color w:val="343434"/>
          <w:bdr w:val="nil"/>
          <w:lang w:val="es-ES"/>
        </w:rPr>
      </w:pPr>
      <w:r w:rsidRPr="00FE319E">
        <w:rPr>
          <w:rFonts w:eastAsia="Calibri" w:cs="Calibri"/>
          <w:color w:val="343434"/>
          <w:bdr w:val="nil"/>
          <w:lang w:val="es-ES"/>
        </w:rPr>
        <w:t xml:space="preserve">El </w:t>
      </w:r>
      <w:proofErr w:type="spellStart"/>
      <w:r w:rsidRPr="00FE319E">
        <w:rPr>
          <w:rFonts w:eastAsia="Calibri" w:cs="Calibri"/>
          <w:color w:val="343434"/>
          <w:bdr w:val="nil"/>
          <w:lang w:val="es-ES"/>
        </w:rPr>
        <w:t>Population</w:t>
      </w:r>
      <w:proofErr w:type="spellEnd"/>
      <w:r w:rsidRPr="00FE319E">
        <w:rPr>
          <w:rFonts w:eastAsia="Calibri" w:cs="Calibri"/>
          <w:color w:val="343434"/>
          <w:bdr w:val="nil"/>
          <w:lang w:val="es-ES"/>
        </w:rPr>
        <w:t xml:space="preserve"> Reference Bureau (</w:t>
      </w:r>
      <w:hyperlink r:id="rId7" w:history="1">
        <w:r w:rsidRPr="00FE319E">
          <w:rPr>
            <w:rFonts w:eastAsia="Calibri" w:cs="Calibri"/>
            <w:color w:val="0563C1"/>
            <w:u w:val="single"/>
            <w:bdr w:val="nil"/>
            <w:lang w:val="es-ES"/>
          </w:rPr>
          <w:t>www.prb.org</w:t>
        </w:r>
      </w:hyperlink>
      <w:r w:rsidRPr="00FE319E">
        <w:rPr>
          <w:rFonts w:eastAsia="Calibri" w:cs="Calibri"/>
          <w:color w:val="343434"/>
          <w:bdr w:val="nil"/>
          <w:lang w:val="es-ES"/>
        </w:rPr>
        <w:t>) informa a personas alrededor del mundo sobre población, salud y medio ambiente y les empodera a utilizar esa información para mejorar el bienestar de las generaciones actuales y futuras.</w:t>
      </w:r>
    </w:p>
    <w:p w:rsidR="00140BF0" w:rsidRPr="00FE319E" w:rsidRDefault="00FE319E" w:rsidP="00FE319E">
      <w:pPr>
        <w:jc w:val="both"/>
        <w:rPr>
          <w:lang w:val="es-NI"/>
        </w:rPr>
      </w:pPr>
    </w:p>
    <w:p w:rsidR="00140BF0" w:rsidRPr="00FE319E" w:rsidRDefault="001825EF" w:rsidP="00FE319E">
      <w:pPr>
        <w:jc w:val="both"/>
        <w:rPr>
          <w:rFonts w:asciiTheme="minorHAnsi" w:hAnsiTheme="minorHAnsi" w:cs="HelveticaNeue-Light"/>
          <w:lang w:val="es-NI"/>
        </w:rPr>
      </w:pPr>
      <w:r w:rsidRPr="00FE319E">
        <w:rPr>
          <w:rFonts w:eastAsia="Calibri" w:cs="Calibri"/>
          <w:bdr w:val="nil"/>
          <w:lang w:val="es-ES"/>
        </w:rPr>
        <w:t>YHP es una asociación entre AstraZeneca, la Escuela de Salud Pública del Johns Hopkins Bloomberg y Plan Internacional, con socios de ONG locales también implementando programas de YHP sobre el terreno. La misión de YHP es impactar positivamente en la salud de los adolescentes en las comunidades marginadas</w:t>
      </w:r>
      <w:r w:rsidR="00FE319E">
        <w:rPr>
          <w:rFonts w:eastAsia="Calibri" w:cs="Calibri"/>
          <w:bdr w:val="nil"/>
          <w:lang w:val="es-ES"/>
        </w:rPr>
        <w:t xml:space="preserve"> </w:t>
      </w:r>
      <w:r w:rsidRPr="00FE319E">
        <w:rPr>
          <w:rFonts w:eastAsia="Calibri" w:cs="Calibri"/>
          <w:bdr w:val="nil"/>
          <w:lang w:val="es-ES"/>
        </w:rPr>
        <w:t>en todo el mundo a través de investigación y promoción de programas  sobre el terreno centrados en la prevención de las ENT.</w:t>
      </w:r>
    </w:p>
    <w:p w:rsidR="00140BF0" w:rsidRPr="00FE319E" w:rsidRDefault="00FE319E" w:rsidP="00FE319E">
      <w:pPr>
        <w:autoSpaceDE w:val="0"/>
        <w:autoSpaceDN w:val="0"/>
        <w:adjustRightInd w:val="0"/>
        <w:jc w:val="both"/>
        <w:rPr>
          <w:rFonts w:asciiTheme="minorHAnsi" w:hAnsiTheme="minorHAnsi" w:cs="HelveticaNeue-Light"/>
          <w:lang w:val="es-NI"/>
        </w:rPr>
      </w:pPr>
    </w:p>
    <w:p w:rsidR="00FE319E" w:rsidRDefault="001825EF" w:rsidP="00FE319E">
      <w:pPr>
        <w:autoSpaceDE w:val="0"/>
        <w:autoSpaceDN w:val="0"/>
        <w:adjustRightInd w:val="0"/>
        <w:jc w:val="both"/>
        <w:rPr>
          <w:rFonts w:eastAsia="Calibri" w:cs="Calibri"/>
          <w:bdr w:val="nil"/>
          <w:lang w:val="es-ES"/>
        </w:rPr>
      </w:pPr>
      <w:r w:rsidRPr="00FE319E">
        <w:rPr>
          <w:rFonts w:eastAsia="Calibri" w:cs="Calibri"/>
          <w:bdr w:val="nil"/>
          <w:lang w:val="es-ES"/>
        </w:rPr>
        <w:t xml:space="preserve">Para obtener más información acerca de los informes PRB, comuníquese con: </w:t>
      </w:r>
    </w:p>
    <w:p w:rsidR="00140BF0" w:rsidRPr="00FE319E" w:rsidRDefault="001825EF" w:rsidP="00FE319E">
      <w:pPr>
        <w:autoSpaceDE w:val="0"/>
        <w:autoSpaceDN w:val="0"/>
        <w:adjustRightInd w:val="0"/>
        <w:jc w:val="both"/>
        <w:rPr>
          <w:rStyle w:val="Hipervnculo"/>
          <w:rFonts w:asciiTheme="minorHAnsi" w:hAnsiTheme="minorHAnsi" w:cs="HelveticaNeue-Light"/>
          <w:lang w:val="es-NI"/>
        </w:rPr>
      </w:pPr>
      <w:r w:rsidRPr="00FE319E">
        <w:rPr>
          <w:rFonts w:eastAsia="Calibri" w:cs="Calibri"/>
          <w:bdr w:val="nil"/>
          <w:lang w:val="es-ES"/>
        </w:rPr>
        <w:t xml:space="preserve">Peter </w:t>
      </w:r>
      <w:proofErr w:type="spellStart"/>
      <w:r w:rsidRPr="00FE319E">
        <w:rPr>
          <w:rFonts w:eastAsia="Calibri" w:cs="Calibri"/>
          <w:bdr w:val="nil"/>
          <w:lang w:val="es-ES"/>
        </w:rPr>
        <w:t>Goldstein</w:t>
      </w:r>
      <w:proofErr w:type="spellEnd"/>
      <w:r w:rsidRPr="00FE319E">
        <w:rPr>
          <w:rFonts w:eastAsia="Calibri" w:cs="Calibri"/>
          <w:bdr w:val="nil"/>
          <w:lang w:val="es-ES"/>
        </w:rPr>
        <w:t xml:space="preserve">, 1-202-939-5407; </w:t>
      </w:r>
      <w:hyperlink r:id="rId8" w:history="1">
        <w:r w:rsidRPr="00FE319E">
          <w:rPr>
            <w:rFonts w:eastAsia="Calibri" w:cs="Calibri"/>
            <w:color w:val="0563C1"/>
            <w:u w:val="single"/>
            <w:bdr w:val="nil"/>
            <w:lang w:val="es-ES"/>
          </w:rPr>
          <w:t>pgoldstein@prb.org</w:t>
        </w:r>
      </w:hyperlink>
    </w:p>
    <w:p w:rsidR="00704A9B" w:rsidRPr="00FE319E" w:rsidRDefault="00FE319E" w:rsidP="00FE319E">
      <w:pPr>
        <w:autoSpaceDE w:val="0"/>
        <w:autoSpaceDN w:val="0"/>
        <w:adjustRightInd w:val="0"/>
        <w:jc w:val="both"/>
        <w:rPr>
          <w:rFonts w:asciiTheme="minorHAnsi" w:hAnsiTheme="minorHAnsi" w:cs="HelveticaNeue-Light"/>
          <w:lang w:val="es-NI"/>
        </w:rPr>
      </w:pPr>
    </w:p>
    <w:p w:rsidR="00704A9B" w:rsidRPr="00FE319E" w:rsidRDefault="001825EF" w:rsidP="00FE319E">
      <w:pPr>
        <w:contextualSpacing/>
        <w:jc w:val="both"/>
        <w:rPr>
          <w:color w:val="1F497D"/>
          <w:lang w:val="es-NI"/>
        </w:rPr>
      </w:pPr>
      <w:r w:rsidRPr="00FE319E">
        <w:rPr>
          <w:rFonts w:eastAsia="Calibri" w:cs="Calibri"/>
          <w:bdr w:val="nil"/>
          <w:lang w:val="es-ES"/>
        </w:rPr>
        <w:t xml:space="preserve">Para obtener más información acerca de las actividades de AstraZeneca YHP, comuníquese con: </w:t>
      </w:r>
    </w:p>
    <w:p w:rsidR="00704A9B" w:rsidRDefault="001825EF" w:rsidP="00FE319E">
      <w:pPr>
        <w:contextualSpacing/>
        <w:jc w:val="both"/>
        <w:rPr>
          <w:rFonts w:eastAsia="Calibri" w:cs="Calibri"/>
          <w:color w:val="0563C1"/>
          <w:u w:val="single"/>
          <w:bdr w:val="nil"/>
          <w:lang w:val="es-ES"/>
        </w:rPr>
      </w:pPr>
      <w:r w:rsidRPr="00FE319E">
        <w:rPr>
          <w:rFonts w:eastAsia="Calibri" w:cs="Calibri"/>
          <w:bdr w:val="nil"/>
          <w:lang w:val="pt-PT"/>
        </w:rPr>
        <w:t>Vanessa Rhodes, +44 (0) 20 7604 8037</w:t>
      </w:r>
      <w:r w:rsidRPr="00FE319E">
        <w:rPr>
          <w:rFonts w:eastAsia="Calibri" w:cs="Calibri"/>
          <w:color w:val="1F497D"/>
          <w:bdr w:val="nil"/>
          <w:lang w:val="pt-PT"/>
        </w:rPr>
        <w:t xml:space="preserve">, </w:t>
      </w:r>
      <w:hyperlink r:id="rId9" w:history="1">
        <w:r w:rsidRPr="00FE319E">
          <w:rPr>
            <w:rFonts w:eastAsia="Calibri" w:cs="Calibri"/>
            <w:color w:val="0563C1"/>
            <w:u w:val="single"/>
            <w:bdr w:val="nil"/>
            <w:lang w:val="pt-PT"/>
          </w:rPr>
          <w:t>Vanessa.rhodes@astrazeneca.com</w:t>
        </w:r>
      </w:hyperlink>
      <w:r w:rsidRPr="00FE319E">
        <w:rPr>
          <w:rFonts w:eastAsia="Calibri" w:cs="Calibri"/>
          <w:color w:val="0563C1"/>
          <w:u w:val="single"/>
          <w:bdr w:val="nil"/>
          <w:lang w:val="pt-PT"/>
        </w:rPr>
        <w:t>;</w:t>
      </w:r>
      <w:r w:rsidRPr="00FE319E">
        <w:rPr>
          <w:rFonts w:eastAsia="Calibri" w:cs="Calibri"/>
          <w:color w:val="1F497D"/>
          <w:bdr w:val="nil"/>
          <w:lang w:val="pt-PT"/>
        </w:rPr>
        <w:t xml:space="preserve"> </w:t>
      </w:r>
      <w:r w:rsidRPr="00FE319E">
        <w:rPr>
          <w:rFonts w:eastAsia="Calibri" w:cs="Calibri"/>
          <w:color w:val="1F497D"/>
          <w:bdr w:val="nil"/>
          <w:lang w:val="pt-PT"/>
        </w:rPr>
        <w:br/>
      </w:r>
      <w:r w:rsidRPr="00FE319E">
        <w:rPr>
          <w:rFonts w:eastAsia="Calibri" w:cs="Calibri"/>
          <w:bdr w:val="nil"/>
          <w:lang w:val="pt-PT"/>
        </w:rPr>
        <w:t>Para consultas sobre programas: Sara Shillito,</w:t>
      </w:r>
      <w:r w:rsidRPr="00FE319E">
        <w:rPr>
          <w:rFonts w:eastAsia="Calibri" w:cs="Calibri"/>
          <w:color w:val="1F497D"/>
          <w:bdr w:val="nil"/>
          <w:lang w:val="pt-PT"/>
        </w:rPr>
        <w:t xml:space="preserve"> </w:t>
      </w:r>
      <w:hyperlink r:id="rId10" w:history="1">
        <w:r w:rsidRPr="00FE319E">
          <w:rPr>
            <w:rFonts w:eastAsia="Calibri" w:cs="Calibri"/>
            <w:color w:val="0563C1"/>
            <w:u w:val="single"/>
            <w:bdr w:val="nil"/>
            <w:lang w:val="pt-PT"/>
          </w:rPr>
          <w:t>Sarah.shillito@astrazeneca.com</w:t>
        </w:r>
      </w:hyperlink>
    </w:p>
    <w:p w:rsidR="00704A9B" w:rsidRPr="00FE319E" w:rsidRDefault="00FE319E" w:rsidP="00FE319E">
      <w:pPr>
        <w:autoSpaceDE w:val="0"/>
        <w:autoSpaceDN w:val="0"/>
        <w:adjustRightInd w:val="0"/>
        <w:contextualSpacing/>
        <w:jc w:val="both"/>
        <w:rPr>
          <w:rFonts w:asciiTheme="minorHAnsi" w:hAnsiTheme="minorHAnsi" w:cs="HelveticaNeue-Light"/>
          <w:lang w:val="pt-PT"/>
        </w:rPr>
      </w:pPr>
      <w:bookmarkStart w:id="0" w:name="_GoBack"/>
      <w:bookmarkEnd w:id="0"/>
    </w:p>
    <w:p w:rsidR="00A11AA8" w:rsidRPr="00E063B2" w:rsidRDefault="001825EF" w:rsidP="00FE319E">
      <w:pPr>
        <w:autoSpaceDE w:val="0"/>
        <w:autoSpaceDN w:val="0"/>
        <w:adjustRightInd w:val="0"/>
        <w:contextualSpacing/>
        <w:jc w:val="both"/>
        <w:rPr>
          <w:rFonts w:asciiTheme="minorHAnsi" w:hAnsiTheme="minorHAnsi" w:cs="HelveticaNeue-Light"/>
        </w:rPr>
      </w:pPr>
      <w:r w:rsidRPr="00FE319E">
        <w:rPr>
          <w:rFonts w:eastAsia="Calibri" w:cs="Calibri"/>
          <w:bdr w:val="nil"/>
          <w:lang w:val="es-ES"/>
        </w:rPr>
        <w:t>FUENTE: Population Reference Bureau</w:t>
      </w:r>
    </w:p>
    <w:sectPr w:rsidR="00A11AA8" w:rsidRPr="00E06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B9A"/>
    <w:rsid w:val="001825EF"/>
    <w:rsid w:val="00643B9A"/>
    <w:rsid w:val="00FE3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B0EB3A-E3BE-504D-8DCC-32739F57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B46A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46A8"/>
    <w:rPr>
      <w:rFonts w:ascii="Segoe UI" w:hAnsi="Segoe UI" w:cs="Segoe UI"/>
      <w:sz w:val="18"/>
      <w:szCs w:val="18"/>
    </w:rPr>
  </w:style>
  <w:style w:type="character" w:styleId="Refdecomentario">
    <w:name w:val="annotation reference"/>
    <w:basedOn w:val="Fuentedeprrafopredeter"/>
    <w:uiPriority w:val="99"/>
    <w:semiHidden/>
    <w:unhideWhenUsed/>
    <w:rsid w:val="00CB46A8"/>
    <w:rPr>
      <w:sz w:val="16"/>
      <w:szCs w:val="16"/>
    </w:rPr>
  </w:style>
  <w:style w:type="paragraph" w:styleId="Textocomentario">
    <w:name w:val="annotation text"/>
    <w:basedOn w:val="Normal"/>
    <w:link w:val="TextocomentarioCar"/>
    <w:uiPriority w:val="99"/>
    <w:semiHidden/>
    <w:unhideWhenUsed/>
    <w:rsid w:val="00CB46A8"/>
    <w:rPr>
      <w:sz w:val="20"/>
      <w:szCs w:val="20"/>
    </w:rPr>
  </w:style>
  <w:style w:type="character" w:customStyle="1" w:styleId="TextocomentarioCar">
    <w:name w:val="Texto comentario Car"/>
    <w:basedOn w:val="Fuentedeprrafopredeter"/>
    <w:link w:val="Textocomentario"/>
    <w:uiPriority w:val="99"/>
    <w:semiHidden/>
    <w:rsid w:val="00CB46A8"/>
    <w:rPr>
      <w:sz w:val="20"/>
      <w:szCs w:val="20"/>
    </w:rPr>
  </w:style>
  <w:style w:type="paragraph" w:styleId="Asuntodelcomentario">
    <w:name w:val="annotation subject"/>
    <w:basedOn w:val="Textocomentario"/>
    <w:next w:val="Textocomentario"/>
    <w:link w:val="AsuntodelcomentarioCar"/>
    <w:uiPriority w:val="99"/>
    <w:semiHidden/>
    <w:unhideWhenUsed/>
    <w:rsid w:val="00CB46A8"/>
    <w:rPr>
      <w:b/>
      <w:bCs/>
    </w:rPr>
  </w:style>
  <w:style w:type="character" w:customStyle="1" w:styleId="AsuntodelcomentarioCar">
    <w:name w:val="Asunto del comentario Car"/>
    <w:basedOn w:val="TextocomentarioCar"/>
    <w:link w:val="Asuntodelcomentario"/>
    <w:uiPriority w:val="99"/>
    <w:semiHidden/>
    <w:rsid w:val="00CB46A8"/>
    <w:rPr>
      <w:b/>
      <w:bCs/>
      <w:sz w:val="20"/>
      <w:szCs w:val="20"/>
    </w:rPr>
  </w:style>
  <w:style w:type="character" w:styleId="Hipervnculo">
    <w:name w:val="Hyperlink"/>
    <w:basedOn w:val="Fuentedeprrafopredeter"/>
    <w:uiPriority w:val="99"/>
    <w:unhideWhenUsed/>
    <w:rsid w:val="00140BF0"/>
    <w:rPr>
      <w:color w:val="0563C1" w:themeColor="hyperlink"/>
      <w:u w:val="single"/>
    </w:rPr>
  </w:style>
  <w:style w:type="paragraph" w:styleId="Revisin">
    <w:name w:val="Revision"/>
    <w:hidden/>
    <w:uiPriority w:val="99"/>
    <w:semiHidden/>
    <w:rsid w:val="00AF5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oldstein@prb.org" TargetMode="External"/><Relationship Id="rId3" Type="http://schemas.openxmlformats.org/officeDocument/2006/relationships/settings" Target="settings.xml"/><Relationship Id="rId7" Type="http://schemas.openxmlformats.org/officeDocument/2006/relationships/hyperlink" Target="http://www.pr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rb.org/Publications/Datasheets/2015/ncd-risk-youth-africa.aspx" TargetMode="External"/><Relationship Id="rId11" Type="http://schemas.openxmlformats.org/officeDocument/2006/relationships/fontTable" Target="fontTable.xml"/><Relationship Id="rId5" Type="http://schemas.openxmlformats.org/officeDocument/2006/relationships/hyperlink" Target="http://www.prb.org/" TargetMode="External"/><Relationship Id="rId10" Type="http://schemas.openxmlformats.org/officeDocument/2006/relationships/hyperlink" Target="mailto:Sarah.shillito@astrazeneca.com" TargetMode="External"/><Relationship Id="rId4" Type="http://schemas.openxmlformats.org/officeDocument/2006/relationships/webSettings" Target="webSettings.xml"/><Relationship Id="rId9" Type="http://schemas.openxmlformats.org/officeDocument/2006/relationships/hyperlink" Target="mailto:Vanessa.rhodes@astrazenec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C1FD7-EF97-4A4A-AF58-7654F8C61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3004</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Mesce</dc:creator>
  <cp:lastModifiedBy>Lic. Edwing Salvatore Obando</cp:lastModifiedBy>
  <cp:revision>2</cp:revision>
  <cp:lastPrinted>2015-04-10T14:28:00Z</cp:lastPrinted>
  <dcterms:created xsi:type="dcterms:W3CDTF">2018-09-20T13:50:00Z</dcterms:created>
  <dcterms:modified xsi:type="dcterms:W3CDTF">2018-09-20T13:50:00Z</dcterms:modified>
</cp:coreProperties>
</file>