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3DC" w:rsidRPr="00E555B0" w:rsidRDefault="00E555B0">
      <w:pPr>
        <w:pStyle w:val="NormalWeb"/>
        <w:jc w:val="center"/>
        <w:divId w:val="935603233"/>
        <w:rPr>
          <w:rFonts w:ascii="Arial" w:hAnsi="Arial" w:cs="Arial"/>
          <w:color w:val="000000"/>
          <w:sz w:val="20"/>
          <w:szCs w:val="20"/>
          <w:lang w:val="es-ES"/>
        </w:rPr>
      </w:pPr>
      <w:r>
        <w:rPr>
          <w:rFonts w:ascii="Arial" w:eastAsia="Arial" w:hAnsi="Arial" w:cs="Arial"/>
          <w:b/>
          <w:bCs/>
          <w:color w:val="000000"/>
          <w:sz w:val="20"/>
          <w:szCs w:val="20"/>
          <w:bdr w:val="nil"/>
          <w:lang w:val="es-ES"/>
        </w:rPr>
        <w:t xml:space="preserve">Population Research revela que la inversión en la salud de la mujer brinda ventajas para los hogares, estimulando el desarrollo.  </w:t>
      </w:r>
    </w:p>
    <w:p w:rsidR="005223DC" w:rsidRPr="00E555B0" w:rsidRDefault="00E555B0" w:rsidP="00E555B0">
      <w:pPr>
        <w:pStyle w:val="NormalWeb"/>
        <w:jc w:val="both"/>
        <w:divId w:val="1970670737"/>
        <w:rPr>
          <w:rFonts w:ascii="Arial" w:hAnsi="Arial" w:cs="Arial"/>
          <w:color w:val="000000"/>
          <w:sz w:val="20"/>
          <w:szCs w:val="20"/>
          <w:lang w:val="es-ES"/>
        </w:rPr>
      </w:pPr>
      <w:r>
        <w:rPr>
          <w:rFonts w:ascii="Arial" w:eastAsia="Arial" w:hAnsi="Arial" w:cs="Arial"/>
          <w:color w:val="000000"/>
          <w:sz w:val="20"/>
          <w:szCs w:val="20"/>
          <w:bdr w:val="nil"/>
          <w:lang w:val="es-ES"/>
        </w:rPr>
        <w:t xml:space="preserve">WASHINGTON, 24 de junio de 2015 </w:t>
      </w:r>
      <w:r>
        <w:rPr>
          <w:rFonts w:ascii="Arial" w:eastAsia="Arial" w:hAnsi="Arial" w:cs="Arial"/>
          <w:color w:val="000000"/>
          <w:sz w:val="20"/>
          <w:szCs w:val="20"/>
          <w:bdr w:val="nil"/>
          <w:lang w:val="es-ES"/>
        </w:rPr>
        <w:t>/PRNewswire-USNewswire/ -- Mientras  los líderes del mundo se preparan para reunirse más adelante este mes en Etiopía para planear el futuro de la financiación para el desarrollo global, los investigadores están demostrando cómo las inversiones en la salud</w:t>
      </w:r>
      <w:r>
        <w:rPr>
          <w:rFonts w:ascii="Arial" w:eastAsia="Arial" w:hAnsi="Arial" w:cs="Arial"/>
          <w:color w:val="000000"/>
          <w:sz w:val="20"/>
          <w:szCs w:val="20"/>
          <w:bdr w:val="nil"/>
          <w:lang w:val="es-ES"/>
        </w:rPr>
        <w:t xml:space="preserve"> y la educación de las mujeres pueden tener un impacto crítico y duradero en el </w:t>
      </w:r>
      <w:r w:rsidRPr="00E555B0">
        <w:rPr>
          <w:rFonts w:ascii="Arial" w:eastAsia="Arial" w:hAnsi="Arial" w:cs="Arial"/>
          <w:color w:val="000000"/>
          <w:sz w:val="20"/>
          <w:szCs w:val="20"/>
          <w:bdr w:val="nil"/>
          <w:lang w:val="es-ES"/>
        </w:rPr>
        <w:t>bienestar de mujeres y niños, y por ende, los hogares, y las comunidades.</w:t>
      </w:r>
    </w:p>
    <w:p w:rsidR="005223DC" w:rsidRPr="00E555B0" w:rsidRDefault="00E555B0" w:rsidP="00E555B0">
      <w:pPr>
        <w:pStyle w:val="NormalWeb"/>
        <w:jc w:val="both"/>
        <w:divId w:val="1970670737"/>
        <w:rPr>
          <w:rFonts w:ascii="Arial" w:hAnsi="Arial" w:cs="Arial"/>
          <w:color w:val="000000"/>
          <w:sz w:val="20"/>
          <w:szCs w:val="20"/>
          <w:lang w:val="es-ES"/>
        </w:rPr>
      </w:pPr>
      <w:r w:rsidRPr="00E555B0">
        <w:rPr>
          <w:rFonts w:ascii="Arial" w:eastAsia="Arial" w:hAnsi="Arial" w:cs="Arial"/>
          <w:color w:val="000000"/>
          <w:sz w:val="20"/>
          <w:szCs w:val="20"/>
          <w:bdr w:val="nil"/>
          <w:lang w:val="es-ES"/>
        </w:rPr>
        <w:t xml:space="preserve">El </w:t>
      </w:r>
      <w:proofErr w:type="spellStart"/>
      <w:r w:rsidRPr="00E555B0">
        <w:rPr>
          <w:rFonts w:ascii="Arial" w:eastAsia="Arial" w:hAnsi="Arial" w:cs="Arial"/>
          <w:color w:val="000000"/>
          <w:sz w:val="20"/>
          <w:szCs w:val="20"/>
          <w:bdr w:val="nil"/>
          <w:lang w:val="es-ES"/>
        </w:rPr>
        <w:t>Population</w:t>
      </w:r>
      <w:proofErr w:type="spellEnd"/>
      <w:r w:rsidRPr="00E555B0">
        <w:rPr>
          <w:rFonts w:ascii="Arial" w:eastAsia="Arial" w:hAnsi="Arial" w:cs="Arial"/>
          <w:color w:val="000000"/>
          <w:sz w:val="20"/>
          <w:szCs w:val="20"/>
          <w:bdr w:val="nil"/>
          <w:lang w:val="es-ES"/>
        </w:rPr>
        <w:t xml:space="preserve"> and </w:t>
      </w:r>
      <w:proofErr w:type="spellStart"/>
      <w:r w:rsidRPr="00E555B0">
        <w:rPr>
          <w:rFonts w:ascii="Arial" w:eastAsia="Arial" w:hAnsi="Arial" w:cs="Arial"/>
          <w:color w:val="000000"/>
          <w:sz w:val="20"/>
          <w:szCs w:val="20"/>
          <w:bdr w:val="nil"/>
          <w:lang w:val="es-ES"/>
        </w:rPr>
        <w:t>Pover</w:t>
      </w:r>
      <w:r w:rsidRPr="00E555B0">
        <w:rPr>
          <w:rFonts w:ascii="Arial" w:eastAsia="Arial" w:hAnsi="Arial" w:cs="Arial"/>
          <w:color w:val="000000"/>
          <w:sz w:val="20"/>
          <w:szCs w:val="20"/>
          <w:bdr w:val="nil"/>
          <w:lang w:val="es-ES"/>
        </w:rPr>
        <w:t>ty</w:t>
      </w:r>
      <w:proofErr w:type="spellEnd"/>
      <w:r w:rsidRPr="00E555B0">
        <w:rPr>
          <w:rFonts w:ascii="Arial" w:eastAsia="Arial" w:hAnsi="Arial" w:cs="Arial"/>
          <w:color w:val="000000"/>
          <w:sz w:val="20"/>
          <w:szCs w:val="20"/>
          <w:bdr w:val="nil"/>
          <w:lang w:val="es-ES"/>
        </w:rPr>
        <w:t xml:space="preserve"> Research Network o </w:t>
      </w:r>
      <w:proofErr w:type="spellStart"/>
      <w:r w:rsidRPr="00E555B0">
        <w:rPr>
          <w:rFonts w:ascii="Arial" w:eastAsia="Arial" w:hAnsi="Arial" w:cs="Arial"/>
          <w:color w:val="000000"/>
          <w:sz w:val="20"/>
          <w:szCs w:val="20"/>
          <w:bdr w:val="nil"/>
          <w:lang w:val="es-ES"/>
        </w:rPr>
        <w:t>PopPov</w:t>
      </w:r>
      <w:proofErr w:type="spellEnd"/>
      <w:r w:rsidRPr="00E555B0">
        <w:rPr>
          <w:rFonts w:ascii="Arial" w:eastAsia="Arial" w:hAnsi="Arial" w:cs="Arial"/>
          <w:color w:val="000000"/>
          <w:sz w:val="20"/>
          <w:szCs w:val="20"/>
          <w:bdr w:val="nil"/>
          <w:lang w:val="es-ES"/>
        </w:rPr>
        <w:t xml:space="preserve"> </w:t>
      </w:r>
      <w:r w:rsidRPr="00E555B0">
        <w:rPr>
          <w:rFonts w:ascii="Arial" w:eastAsia="Arial" w:hAnsi="Arial" w:cs="Arial"/>
          <w:color w:val="000000"/>
          <w:sz w:val="20"/>
          <w:szCs w:val="20"/>
          <w:bdr w:val="nil"/>
          <w:lang w:val="es-ES"/>
        </w:rPr>
        <w:t>(</w:t>
      </w:r>
      <w:hyperlink r:id="rId4" w:tgtFrame="_blank" w:history="1">
        <w:r w:rsidRPr="00E555B0">
          <w:rPr>
            <w:rFonts w:ascii="Arial" w:eastAsia="Arial" w:hAnsi="Arial" w:cs="Arial"/>
            <w:color w:val="0000FF"/>
            <w:sz w:val="20"/>
            <w:szCs w:val="20"/>
            <w:u w:val="single"/>
            <w:bdr w:val="nil"/>
            <w:lang w:val="es-ES"/>
          </w:rPr>
          <w:t>http://poppov.org/</w:t>
        </w:r>
      </w:hyperlink>
      <w:r w:rsidRPr="00E555B0">
        <w:rPr>
          <w:rFonts w:ascii="Arial" w:eastAsia="Arial" w:hAnsi="Arial" w:cs="Arial"/>
          <w:color w:val="000000"/>
          <w:sz w:val="20"/>
          <w:szCs w:val="20"/>
          <w:bdr w:val="nil"/>
          <w:lang w:val="es-ES"/>
        </w:rPr>
        <w:t>),</w:t>
      </w:r>
      <w:r w:rsidRPr="00E555B0">
        <w:rPr>
          <w:rFonts w:ascii="Arial" w:eastAsia="Arial" w:hAnsi="Arial" w:cs="Arial"/>
          <w:color w:val="000000"/>
          <w:sz w:val="20"/>
          <w:szCs w:val="20"/>
          <w:bdr w:val="nil"/>
          <w:lang w:val="es-ES"/>
        </w:rPr>
        <w:t xml:space="preserve"> lleva a cabo esta semana la Conferencia sobre Población, Salud Reproductiva y Desarrollo Económico</w:t>
      </w:r>
      <w:r w:rsidRPr="00E555B0">
        <w:rPr>
          <w:rFonts w:ascii="Arial" w:eastAsia="Arial" w:hAnsi="Arial" w:cs="Arial"/>
          <w:color w:val="000000"/>
          <w:sz w:val="20"/>
          <w:szCs w:val="20"/>
          <w:bdr w:val="nil"/>
          <w:lang w:val="es-ES"/>
        </w:rPr>
        <w:t xml:space="preserve"> en Addis Abeba, Etiopía. La conferencia de PopPov presenta estudios innovadores y nueva evidencia sobre el efecto de las transferencias de efectivo, las intervenciones de planificación familiar, la educación, las pruebas de VIH y las políticas de empleabi</w:t>
      </w:r>
      <w:r w:rsidRPr="00E555B0">
        <w:rPr>
          <w:rFonts w:ascii="Arial" w:eastAsia="Arial" w:hAnsi="Arial" w:cs="Arial"/>
          <w:color w:val="000000"/>
          <w:sz w:val="20"/>
          <w:szCs w:val="20"/>
          <w:bdr w:val="nil"/>
          <w:lang w:val="es-ES"/>
        </w:rPr>
        <w:t xml:space="preserve">lidad en el África subsahariana y el sur de Asia. </w:t>
      </w:r>
    </w:p>
    <w:p w:rsidR="005223DC" w:rsidRPr="00E555B0" w:rsidRDefault="00E555B0" w:rsidP="00E555B0">
      <w:pPr>
        <w:pStyle w:val="NormalWeb"/>
        <w:jc w:val="both"/>
        <w:divId w:val="1970670737"/>
        <w:rPr>
          <w:rFonts w:ascii="Arial" w:hAnsi="Arial" w:cs="Arial"/>
          <w:color w:val="000000"/>
          <w:sz w:val="20"/>
          <w:szCs w:val="20"/>
          <w:lang w:val="es-ES"/>
        </w:rPr>
      </w:pPr>
      <w:r w:rsidRPr="00E555B0">
        <w:rPr>
          <w:rFonts w:ascii="Arial" w:eastAsia="Arial" w:hAnsi="Arial" w:cs="Arial"/>
          <w:color w:val="000000"/>
          <w:sz w:val="20"/>
          <w:szCs w:val="20"/>
          <w:bdr w:val="nil"/>
          <w:lang w:val="es-ES"/>
        </w:rPr>
        <w:t>La conferencia sobre la investigación de PopPov sucede dos semanas antes del inicio de la Tercera Conferencia Internacional so</w:t>
      </w:r>
      <w:r w:rsidRPr="00E555B0">
        <w:rPr>
          <w:rFonts w:ascii="Arial" w:eastAsia="Arial" w:hAnsi="Arial" w:cs="Arial"/>
          <w:color w:val="000000"/>
          <w:sz w:val="20"/>
          <w:szCs w:val="20"/>
          <w:bdr w:val="nil"/>
          <w:lang w:val="es-ES"/>
        </w:rPr>
        <w:t>bre Financiación para el desarrollo (FfD), que también se celebrará en Addis Abeba. Allí, líderes mundiales establecerán prioridades para la asignación de billones de dólares para alcanzar los Objetivos de Desarrollo Sostenible (ODS) previstos para 2030. L</w:t>
      </w:r>
      <w:r w:rsidRPr="00E555B0">
        <w:rPr>
          <w:rFonts w:ascii="Arial" w:eastAsia="Arial" w:hAnsi="Arial" w:cs="Arial"/>
          <w:color w:val="000000"/>
          <w:sz w:val="20"/>
          <w:szCs w:val="20"/>
          <w:bdr w:val="nil"/>
          <w:lang w:val="es-ES"/>
        </w:rPr>
        <w:t xml:space="preserve">os documentos preparatorios para la FfD (por sus siglas en inglés) indican que los líderes pondrán de relieve el papel central de la equidad de género y el empoderamiento de las mujeres en el marco de los ODS. </w:t>
      </w:r>
    </w:p>
    <w:p w:rsidR="005223DC" w:rsidRPr="00E555B0" w:rsidRDefault="00E555B0" w:rsidP="00E555B0">
      <w:pPr>
        <w:pStyle w:val="NormalWeb"/>
        <w:jc w:val="both"/>
        <w:divId w:val="1970670737"/>
        <w:rPr>
          <w:rFonts w:ascii="Arial" w:hAnsi="Arial" w:cs="Arial"/>
          <w:color w:val="000000"/>
          <w:sz w:val="20"/>
          <w:szCs w:val="20"/>
          <w:lang w:val="es-ES"/>
        </w:rPr>
      </w:pPr>
      <w:r w:rsidRPr="00E555B0">
        <w:rPr>
          <w:rFonts w:ascii="Arial" w:eastAsia="Arial" w:hAnsi="Arial" w:cs="Arial"/>
          <w:color w:val="000000"/>
          <w:sz w:val="20"/>
          <w:szCs w:val="20"/>
          <w:bdr w:val="nil"/>
          <w:lang w:val="es-ES"/>
        </w:rPr>
        <w:t xml:space="preserve">Pruebas presentadas en la conferencia de PopPov muestran que el acceso apropiado de las mujeres a la atención de salud, incluyendo servicios de planificación familiar puede ayudar a las mujeres y las niñas a completar más </w:t>
      </w:r>
      <w:r w:rsidRPr="00E555B0">
        <w:rPr>
          <w:rFonts w:ascii="Arial" w:eastAsia="Arial" w:hAnsi="Arial" w:cs="Arial"/>
          <w:color w:val="000000"/>
          <w:sz w:val="20"/>
          <w:szCs w:val="20"/>
          <w:bdr w:val="nil"/>
          <w:lang w:val="es-ES"/>
        </w:rPr>
        <w:t>años de educación y participar en la fuerza laboral. Las mujeres con más años de educación son más propensas a retrasar el matrimonio y la maternidad y a adquirir las habilidades necesarias para un empleo remunerado. Mayor empleo, potencial de ingresos y m</w:t>
      </w:r>
      <w:r w:rsidRPr="00E555B0">
        <w:rPr>
          <w:rFonts w:ascii="Arial" w:eastAsia="Arial" w:hAnsi="Arial" w:cs="Arial"/>
          <w:color w:val="000000"/>
          <w:sz w:val="20"/>
          <w:szCs w:val="20"/>
          <w:bdr w:val="nil"/>
          <w:lang w:val="es-ES"/>
        </w:rPr>
        <w:t xml:space="preserve">ejor salud permite a las mujeres contribuir más al bienestar infantil, el hogar y la comunidad. </w:t>
      </w:r>
    </w:p>
    <w:p w:rsidR="005223DC" w:rsidRPr="00E555B0" w:rsidRDefault="00E555B0" w:rsidP="00E555B0">
      <w:pPr>
        <w:pStyle w:val="NormalWeb"/>
        <w:jc w:val="both"/>
        <w:divId w:val="1970670737"/>
        <w:rPr>
          <w:rFonts w:ascii="Arial" w:hAnsi="Arial" w:cs="Arial"/>
          <w:color w:val="000000"/>
          <w:sz w:val="20"/>
          <w:szCs w:val="20"/>
          <w:lang w:val="es-ES"/>
        </w:rPr>
      </w:pPr>
      <w:r w:rsidRPr="00E555B0">
        <w:rPr>
          <w:rFonts w:ascii="Arial" w:eastAsia="Arial" w:hAnsi="Arial" w:cs="Arial"/>
          <w:color w:val="000000"/>
          <w:sz w:val="20"/>
          <w:szCs w:val="20"/>
          <w:bdr w:val="nil"/>
          <w:lang w:val="es-ES"/>
        </w:rPr>
        <w:t>"La investigación de [</w:t>
      </w:r>
      <w:proofErr w:type="spellStart"/>
      <w:r w:rsidRPr="00E555B0">
        <w:rPr>
          <w:rFonts w:ascii="Arial" w:eastAsia="Arial" w:hAnsi="Arial" w:cs="Arial"/>
          <w:color w:val="000000"/>
          <w:sz w:val="20"/>
          <w:szCs w:val="20"/>
          <w:bdr w:val="nil"/>
          <w:lang w:val="es-ES"/>
        </w:rPr>
        <w:t>PopPov</w:t>
      </w:r>
      <w:proofErr w:type="spellEnd"/>
      <w:r w:rsidRPr="00E555B0">
        <w:rPr>
          <w:rFonts w:ascii="Arial" w:eastAsia="Arial" w:hAnsi="Arial" w:cs="Arial"/>
          <w:color w:val="000000"/>
          <w:sz w:val="20"/>
          <w:szCs w:val="20"/>
          <w:bdr w:val="nil"/>
          <w:lang w:val="es-ES"/>
        </w:rPr>
        <w:t>] ha demostrado la importancia económica de la buena</w:t>
      </w:r>
      <w:r w:rsidRPr="00E555B0">
        <w:rPr>
          <w:rFonts w:ascii="Arial" w:eastAsia="Arial" w:hAnsi="Arial" w:cs="Arial"/>
          <w:color w:val="000000"/>
          <w:sz w:val="20"/>
          <w:szCs w:val="20"/>
          <w:bdr w:val="nil"/>
          <w:lang w:val="es-ES"/>
        </w:rPr>
        <w:t xml:space="preserve"> salud y el valor para las sociedades de invertir en educación para las mujeres y planificación familiar," dijo Ruth Levine, directora del Programa de Desarrollo Global y Población en el William and Flora Hewlett Foundation, uno de los patrocinadores del p</w:t>
      </w:r>
      <w:r w:rsidRPr="00E555B0">
        <w:rPr>
          <w:rFonts w:ascii="Arial" w:eastAsia="Arial" w:hAnsi="Arial" w:cs="Arial"/>
          <w:color w:val="000000"/>
          <w:sz w:val="20"/>
          <w:szCs w:val="20"/>
          <w:bdr w:val="nil"/>
          <w:lang w:val="es-ES"/>
        </w:rPr>
        <w:t>rograma de investigación. "La investigación también ha examinado la efectividad de tipos específicos de redes de seguridad, salud y programas de planificación familiar, proporcionando información a los responsables de la toma de decisiones acerca de cómo u</w:t>
      </w:r>
      <w:r w:rsidRPr="00E555B0">
        <w:rPr>
          <w:rFonts w:ascii="Arial" w:eastAsia="Arial" w:hAnsi="Arial" w:cs="Arial"/>
          <w:color w:val="000000"/>
          <w:sz w:val="20"/>
          <w:szCs w:val="20"/>
          <w:bdr w:val="nil"/>
          <w:lang w:val="es-ES"/>
        </w:rPr>
        <w:t xml:space="preserve">sar los valiosos recursos públicos", agregó Levine.  </w:t>
      </w:r>
    </w:p>
    <w:p w:rsidR="005223DC" w:rsidRPr="00E555B0" w:rsidRDefault="00E555B0" w:rsidP="00E555B0">
      <w:pPr>
        <w:pStyle w:val="NormalWeb"/>
        <w:jc w:val="both"/>
        <w:divId w:val="1970670737"/>
        <w:rPr>
          <w:rFonts w:ascii="Arial" w:hAnsi="Arial" w:cs="Arial"/>
          <w:color w:val="000000"/>
          <w:sz w:val="20"/>
          <w:szCs w:val="20"/>
          <w:lang w:val="es-ES"/>
        </w:rPr>
      </w:pPr>
      <w:r w:rsidRPr="00E555B0">
        <w:rPr>
          <w:rFonts w:ascii="Arial" w:eastAsia="Arial" w:hAnsi="Arial" w:cs="Arial"/>
          <w:b/>
          <w:bCs/>
          <w:color w:val="000000"/>
          <w:sz w:val="20"/>
          <w:szCs w:val="20"/>
          <w:bdr w:val="nil"/>
          <w:lang w:val="es-ES"/>
        </w:rPr>
        <w:t>Para obtener más información sobre PopPov y los proyectos de investigación y los beneficios de invertir en salud y empodera</w:t>
      </w:r>
      <w:r w:rsidRPr="00E555B0">
        <w:rPr>
          <w:rFonts w:ascii="Arial" w:eastAsia="Arial" w:hAnsi="Arial" w:cs="Arial"/>
          <w:b/>
          <w:bCs/>
          <w:color w:val="000000"/>
          <w:sz w:val="20"/>
          <w:szCs w:val="20"/>
          <w:bdr w:val="nil"/>
          <w:lang w:val="es-ES"/>
        </w:rPr>
        <w:t>miento de las mujeres visite</w:t>
      </w:r>
      <w:r w:rsidRPr="00E555B0">
        <w:rPr>
          <w:rFonts w:ascii="Arial" w:eastAsia="Arial" w:hAnsi="Arial" w:cs="Arial"/>
          <w:color w:val="000000"/>
          <w:sz w:val="20"/>
          <w:szCs w:val="20"/>
          <w:bdr w:val="nil"/>
          <w:lang w:val="es-ES"/>
        </w:rPr>
        <w:t xml:space="preserve">: </w:t>
      </w:r>
      <w:hyperlink r:id="rId5" w:history="1">
        <w:r w:rsidRPr="00E555B0">
          <w:rPr>
            <w:rFonts w:ascii="Arial" w:eastAsia="Arial" w:hAnsi="Arial" w:cs="Arial"/>
            <w:color w:val="0000FF"/>
            <w:sz w:val="20"/>
            <w:szCs w:val="20"/>
            <w:u w:val="single"/>
            <w:bdr w:val="nil"/>
            <w:lang w:val="es-ES"/>
          </w:rPr>
          <w:t>www.prb.org/Publications/Articles/2015/poppov-investing-in-women.aspx</w:t>
        </w:r>
      </w:hyperlink>
    </w:p>
    <w:p w:rsidR="00565E9B" w:rsidRPr="00E555B0" w:rsidRDefault="00E555B0" w:rsidP="00E555B0">
      <w:pPr>
        <w:pStyle w:val="NormalWeb"/>
        <w:jc w:val="both"/>
        <w:divId w:val="1970670737"/>
        <w:rPr>
          <w:rFonts w:ascii="Arial" w:hAnsi="Arial" w:cs="Arial"/>
          <w:i/>
          <w:iCs/>
          <w:color w:val="000000"/>
          <w:sz w:val="20"/>
          <w:szCs w:val="20"/>
          <w:lang w:val="es-ES"/>
        </w:rPr>
      </w:pPr>
      <w:r w:rsidRPr="00E555B0">
        <w:rPr>
          <w:rFonts w:ascii="Arial" w:eastAsia="Arial" w:hAnsi="Arial" w:cs="Arial"/>
          <w:i/>
          <w:iCs/>
          <w:color w:val="000000"/>
          <w:sz w:val="20"/>
          <w:szCs w:val="20"/>
          <w:bdr w:val="nil"/>
          <w:lang w:val="es-ES"/>
        </w:rPr>
        <w:t>La Red de Investigación de Población y Pobreza (PopPov) es un grupo global de inve</w:t>
      </w:r>
      <w:r w:rsidRPr="00E555B0">
        <w:rPr>
          <w:rFonts w:ascii="Arial" w:eastAsia="Arial" w:hAnsi="Arial" w:cs="Arial"/>
          <w:i/>
          <w:iCs/>
          <w:color w:val="000000"/>
          <w:sz w:val="20"/>
          <w:szCs w:val="20"/>
          <w:bdr w:val="nil"/>
          <w:lang w:val="es-ES"/>
        </w:rPr>
        <w:t>stigadores académicos y patrocinadores que estudian cómo la dinámica de la población afecta los resultados económicos. La iniciativa generó resultados de investigación centrados en África subsahariana y Asia que podrían ayudar a informar las recomendacione</w:t>
      </w:r>
      <w:r w:rsidRPr="00E555B0">
        <w:rPr>
          <w:rFonts w:ascii="Arial" w:eastAsia="Arial" w:hAnsi="Arial" w:cs="Arial"/>
          <w:i/>
          <w:iCs/>
          <w:color w:val="000000"/>
          <w:sz w:val="20"/>
          <w:szCs w:val="20"/>
          <w:bdr w:val="nil"/>
          <w:lang w:val="es-ES"/>
        </w:rPr>
        <w:t xml:space="preserve">s de programas y políticas. Aprenda más y encuentre los recursos adicionales en poppov.org. </w:t>
      </w:r>
    </w:p>
    <w:p w:rsidR="005223DC" w:rsidRPr="00E555B0" w:rsidRDefault="00E555B0" w:rsidP="00E555B0">
      <w:pPr>
        <w:pStyle w:val="NormalWeb"/>
        <w:jc w:val="both"/>
        <w:divId w:val="1970670737"/>
        <w:rPr>
          <w:rFonts w:ascii="Arial" w:hAnsi="Arial" w:cs="Arial"/>
          <w:color w:val="000000"/>
          <w:sz w:val="20"/>
          <w:szCs w:val="20"/>
          <w:lang w:val="es-ES"/>
        </w:rPr>
      </w:pPr>
      <w:proofErr w:type="spellStart"/>
      <w:r w:rsidRPr="00E555B0">
        <w:rPr>
          <w:rFonts w:ascii="Arial" w:eastAsia="Arial" w:hAnsi="Arial" w:cs="Arial"/>
          <w:i/>
          <w:iCs/>
          <w:color w:val="000000"/>
          <w:sz w:val="20"/>
          <w:szCs w:val="20"/>
          <w:bdr w:val="nil"/>
          <w:lang w:val="es-ES"/>
        </w:rPr>
        <w:t>Population</w:t>
      </w:r>
      <w:proofErr w:type="spellEnd"/>
      <w:r w:rsidRPr="00E555B0">
        <w:rPr>
          <w:rFonts w:ascii="Arial" w:eastAsia="Arial" w:hAnsi="Arial" w:cs="Arial"/>
          <w:i/>
          <w:iCs/>
          <w:color w:val="000000"/>
          <w:sz w:val="20"/>
          <w:szCs w:val="20"/>
          <w:bdr w:val="nil"/>
          <w:lang w:val="es-ES"/>
        </w:rPr>
        <w:t xml:space="preserve"> Reference Bureau </w:t>
      </w:r>
      <w:r w:rsidRPr="00E555B0">
        <w:rPr>
          <w:rFonts w:ascii="Arial" w:eastAsia="Arial" w:hAnsi="Arial" w:cs="Arial"/>
          <w:i/>
          <w:iCs/>
          <w:color w:val="000000"/>
          <w:sz w:val="20"/>
          <w:szCs w:val="20"/>
          <w:bdr w:val="nil"/>
          <w:lang w:val="es-ES"/>
        </w:rPr>
        <w:t>(</w:t>
      </w:r>
      <w:hyperlink r:id="rId6" w:history="1">
        <w:r w:rsidRPr="00E555B0">
          <w:rPr>
            <w:rFonts w:ascii="Arial" w:eastAsia="Arial" w:hAnsi="Arial" w:cs="Arial"/>
            <w:i/>
            <w:iCs/>
            <w:color w:val="0000FF"/>
            <w:sz w:val="20"/>
            <w:szCs w:val="20"/>
            <w:u w:val="single"/>
            <w:bdr w:val="nil"/>
            <w:lang w:val="es-ES"/>
          </w:rPr>
          <w:t>www.prb.org</w:t>
        </w:r>
      </w:hyperlink>
      <w:r w:rsidRPr="00E555B0">
        <w:rPr>
          <w:rFonts w:ascii="Arial" w:eastAsia="Arial" w:hAnsi="Arial" w:cs="Arial"/>
          <w:i/>
          <w:iCs/>
          <w:color w:val="000000"/>
          <w:sz w:val="20"/>
          <w:szCs w:val="20"/>
          <w:bdr w:val="nil"/>
          <w:lang w:val="es-ES"/>
        </w:rPr>
        <w:t>)</w:t>
      </w:r>
      <w:r w:rsidRPr="00E555B0">
        <w:rPr>
          <w:rFonts w:ascii="Arial" w:eastAsia="Arial" w:hAnsi="Arial" w:cs="Arial"/>
          <w:i/>
          <w:iCs/>
          <w:color w:val="000000"/>
          <w:sz w:val="20"/>
          <w:szCs w:val="20"/>
          <w:bdr w:val="nil"/>
          <w:lang w:val="es-ES"/>
        </w:rPr>
        <w:t xml:space="preserve"> trabaja en asociación con Hewlett Foundation desde el 2006 implementando las iniciativas de PopPov. Cerca de 100 investigadores</w:t>
      </w:r>
      <w:r>
        <w:rPr>
          <w:rFonts w:ascii="Arial" w:eastAsia="Arial" w:hAnsi="Arial" w:cs="Arial"/>
          <w:i/>
          <w:iCs/>
          <w:color w:val="000000"/>
          <w:sz w:val="20"/>
          <w:szCs w:val="20"/>
          <w:bdr w:val="nil"/>
          <w:lang w:val="es-ES"/>
        </w:rPr>
        <w:t xml:space="preserve"> en la red de PopPov han tratado preguntas de investigación relacionadas con</w:t>
      </w:r>
      <w:r>
        <w:rPr>
          <w:rFonts w:ascii="Arial" w:eastAsia="Arial" w:hAnsi="Arial" w:cs="Arial"/>
          <w:i/>
          <w:iCs/>
          <w:color w:val="000000"/>
          <w:sz w:val="20"/>
          <w:szCs w:val="20"/>
          <w:bdr w:val="nil"/>
          <w:lang w:val="es-ES"/>
        </w:rPr>
        <w:t xml:space="preserve"> el tema social, la salud y la economía en más de 70 países.  </w:t>
      </w:r>
    </w:p>
    <w:p w:rsidR="00E555B0" w:rsidRDefault="00E555B0" w:rsidP="00E555B0">
      <w:pPr>
        <w:pStyle w:val="NormalWeb"/>
        <w:spacing w:before="0" w:beforeAutospacing="0" w:after="0" w:afterAutospacing="0"/>
        <w:contextualSpacing/>
        <w:jc w:val="both"/>
        <w:rPr>
          <w:rFonts w:ascii="Arial" w:eastAsia="Arial" w:hAnsi="Arial" w:cs="Arial"/>
          <w:color w:val="000000"/>
          <w:sz w:val="20"/>
          <w:szCs w:val="20"/>
          <w:bdr w:val="nil"/>
        </w:rPr>
      </w:pPr>
      <w:r w:rsidRPr="00E555B0">
        <w:rPr>
          <w:rFonts w:ascii="Arial" w:eastAsia="Arial" w:hAnsi="Arial" w:cs="Arial"/>
          <w:color w:val="000000"/>
          <w:sz w:val="20"/>
          <w:szCs w:val="20"/>
          <w:bdr w:val="nil"/>
        </w:rPr>
        <w:t xml:space="preserve">CONTACTO: </w:t>
      </w:r>
    </w:p>
    <w:p w:rsidR="00E555B0" w:rsidRDefault="00E555B0" w:rsidP="00E555B0">
      <w:pPr>
        <w:pStyle w:val="NormalWeb"/>
        <w:spacing w:before="0" w:beforeAutospacing="0" w:after="0" w:afterAutospacing="0"/>
        <w:contextualSpacing/>
        <w:jc w:val="both"/>
        <w:rPr>
          <w:rFonts w:ascii="Arial" w:eastAsia="Arial" w:hAnsi="Arial" w:cs="Arial"/>
          <w:color w:val="000000"/>
          <w:sz w:val="20"/>
          <w:szCs w:val="20"/>
          <w:bdr w:val="nil"/>
        </w:rPr>
      </w:pPr>
      <w:r w:rsidRPr="00E555B0">
        <w:rPr>
          <w:rFonts w:ascii="Arial" w:eastAsia="Arial" w:hAnsi="Arial" w:cs="Arial"/>
          <w:color w:val="000000"/>
          <w:sz w:val="20"/>
          <w:szCs w:val="20"/>
          <w:bdr w:val="nil"/>
        </w:rPr>
        <w:t>Peter</w:t>
      </w:r>
      <w:r>
        <w:rPr>
          <w:rFonts w:ascii="Arial" w:eastAsia="Arial" w:hAnsi="Arial" w:cs="Arial"/>
          <w:color w:val="000000"/>
          <w:sz w:val="20"/>
          <w:szCs w:val="20"/>
          <w:bdr w:val="nil"/>
        </w:rPr>
        <w:t xml:space="preserve"> </w:t>
      </w:r>
      <w:r w:rsidRPr="00E555B0">
        <w:rPr>
          <w:rFonts w:ascii="Arial" w:eastAsia="Arial" w:hAnsi="Arial" w:cs="Arial"/>
          <w:color w:val="000000"/>
          <w:sz w:val="20"/>
          <w:szCs w:val="20"/>
          <w:bdr w:val="nil"/>
        </w:rPr>
        <w:t>Goldstein,</w:t>
      </w:r>
      <w:r>
        <w:rPr>
          <w:rFonts w:ascii="Arial" w:eastAsia="Arial" w:hAnsi="Arial" w:cs="Arial"/>
          <w:color w:val="000000"/>
          <w:sz w:val="20"/>
          <w:szCs w:val="20"/>
          <w:bdr w:val="nil"/>
        </w:rPr>
        <w:t xml:space="preserve"> </w:t>
      </w:r>
      <w:r w:rsidRPr="00E555B0">
        <w:rPr>
          <w:rFonts w:ascii="Arial" w:eastAsia="Arial" w:hAnsi="Arial" w:cs="Arial"/>
          <w:color w:val="000000"/>
          <w:sz w:val="20"/>
          <w:szCs w:val="20"/>
          <w:bdr w:val="nil"/>
        </w:rPr>
        <w:t>Populati</w:t>
      </w:r>
      <w:r w:rsidRPr="00E555B0">
        <w:rPr>
          <w:rFonts w:ascii="Arial" w:eastAsia="Arial" w:hAnsi="Arial" w:cs="Arial"/>
          <w:color w:val="000000"/>
          <w:sz w:val="20"/>
          <w:szCs w:val="20"/>
          <w:bdr w:val="nil"/>
        </w:rPr>
        <w:t>on</w:t>
      </w:r>
      <w:r>
        <w:rPr>
          <w:rFonts w:ascii="Arial" w:eastAsia="Arial" w:hAnsi="Arial" w:cs="Arial"/>
          <w:color w:val="000000"/>
          <w:sz w:val="20"/>
          <w:szCs w:val="20"/>
          <w:bdr w:val="nil"/>
        </w:rPr>
        <w:t xml:space="preserve"> </w:t>
      </w:r>
      <w:r w:rsidRPr="00E555B0">
        <w:rPr>
          <w:rFonts w:ascii="Arial" w:eastAsia="Arial" w:hAnsi="Arial" w:cs="Arial"/>
          <w:color w:val="000000"/>
          <w:sz w:val="20"/>
          <w:szCs w:val="20"/>
          <w:bdr w:val="nil"/>
        </w:rPr>
        <w:t>Reference</w:t>
      </w:r>
      <w:r>
        <w:rPr>
          <w:rFonts w:ascii="Arial" w:eastAsia="Arial" w:hAnsi="Arial" w:cs="Arial"/>
          <w:color w:val="000000"/>
          <w:sz w:val="20"/>
          <w:szCs w:val="20"/>
          <w:bdr w:val="nil"/>
        </w:rPr>
        <w:t xml:space="preserve"> </w:t>
      </w:r>
      <w:r w:rsidRPr="00E555B0">
        <w:rPr>
          <w:rFonts w:ascii="Arial" w:eastAsia="Arial" w:hAnsi="Arial" w:cs="Arial"/>
          <w:color w:val="000000"/>
          <w:sz w:val="20"/>
          <w:szCs w:val="20"/>
          <w:bdr w:val="nil"/>
        </w:rPr>
        <w:t>Bureau</w:t>
      </w:r>
      <w:r>
        <w:rPr>
          <w:rFonts w:ascii="Arial" w:eastAsia="Arial" w:hAnsi="Arial" w:cs="Arial"/>
          <w:color w:val="000000"/>
          <w:sz w:val="20"/>
          <w:szCs w:val="20"/>
          <w:bdr w:val="nil"/>
        </w:rPr>
        <w:t xml:space="preserve"> </w:t>
      </w:r>
    </w:p>
    <w:p w:rsidR="003F219D" w:rsidRDefault="00E555B0" w:rsidP="00E555B0">
      <w:pPr>
        <w:pStyle w:val="NormalWeb"/>
        <w:spacing w:before="0" w:beforeAutospacing="0" w:after="0" w:afterAutospacing="0"/>
        <w:contextualSpacing/>
        <w:jc w:val="both"/>
        <w:rPr>
          <w:rFonts w:ascii="Arial" w:eastAsia="Arial" w:hAnsi="Arial" w:cs="Arial"/>
          <w:color w:val="000000"/>
          <w:sz w:val="20"/>
          <w:szCs w:val="20"/>
          <w:bdr w:val="nil"/>
          <w:lang w:val="es-ES"/>
        </w:rPr>
      </w:pPr>
      <w:bookmarkStart w:id="0" w:name="_GoBack"/>
      <w:bookmarkEnd w:id="0"/>
      <w:r w:rsidRPr="00E555B0">
        <w:rPr>
          <w:rFonts w:ascii="Arial" w:eastAsia="Arial" w:hAnsi="Arial" w:cs="Arial"/>
          <w:color w:val="000000"/>
          <w:sz w:val="20"/>
          <w:szCs w:val="20"/>
          <w:bdr w:val="nil"/>
        </w:rPr>
        <w:t>Email</w:t>
      </w:r>
      <w:r w:rsidRPr="00E555B0">
        <w:rPr>
          <w:rFonts w:ascii="Arial" w:eastAsia="Arial" w:hAnsi="Arial" w:cs="Arial"/>
          <w:color w:val="000000"/>
          <w:sz w:val="20"/>
          <w:szCs w:val="20"/>
          <w:bdr w:val="nil"/>
        </w:rPr>
        <w:t xml:space="preserve">: </w:t>
      </w:r>
      <w:hyperlink r:id="rId7" w:tgtFrame="_blank" w:history="1">
        <w:r w:rsidRPr="00E555B0">
          <w:rPr>
            <w:rFonts w:ascii="Arial" w:eastAsia="Arial" w:hAnsi="Arial" w:cs="Arial"/>
            <w:color w:val="0000FF"/>
            <w:sz w:val="20"/>
            <w:szCs w:val="20"/>
            <w:u w:val="single"/>
            <w:bdr w:val="nil"/>
          </w:rPr>
          <w:t>pgoldstein@prb.org</w:t>
        </w:r>
      </w:hyperlink>
      <w:r w:rsidRPr="00E555B0">
        <w:rPr>
          <w:rFonts w:ascii="Arial" w:eastAsia="Arial" w:hAnsi="Arial" w:cs="Arial"/>
          <w:color w:val="000000"/>
          <w:sz w:val="20"/>
          <w:szCs w:val="20"/>
          <w:bdr w:val="nil"/>
        </w:rPr>
        <w:t xml:space="preserve">; tel. </w:t>
      </w:r>
      <w:r w:rsidRPr="00E555B0">
        <w:rPr>
          <w:rFonts w:ascii="Arial" w:eastAsia="Arial" w:hAnsi="Arial" w:cs="Arial"/>
          <w:color w:val="000000"/>
          <w:sz w:val="20"/>
          <w:szCs w:val="20"/>
          <w:bdr w:val="nil"/>
          <w:lang w:val="es-ES"/>
        </w:rPr>
        <w:t>+1.202.939.5407</w:t>
      </w:r>
    </w:p>
    <w:p w:rsidR="00E555B0" w:rsidRDefault="00E555B0" w:rsidP="00E555B0">
      <w:pPr>
        <w:pStyle w:val="NormalWeb"/>
        <w:jc w:val="both"/>
        <w:rPr>
          <w:rFonts w:ascii="Arial" w:eastAsia="Times New Roman" w:hAnsi="Arial" w:cs="Arial"/>
          <w:color w:val="000000"/>
          <w:sz w:val="20"/>
          <w:szCs w:val="20"/>
        </w:rPr>
      </w:pPr>
    </w:p>
    <w:sectPr w:rsidR="00E555B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5B0"/>
    <w:rsid w:val="00E55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80F5E-45DF-4191-85FD-7FE0BAE3B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u w:val="single"/>
    </w:rPr>
  </w:style>
  <w:style w:type="character" w:styleId="Hipervnculovisitado">
    <w:name w:val="FollowedHyperlink"/>
    <w:basedOn w:val="Fuentedeprrafopredeter"/>
    <w:uiPriority w:val="99"/>
    <w:semiHidden/>
    <w:unhideWhenUsed/>
    <w:rPr>
      <w:color w:val="0000FF"/>
      <w:u w:val="single"/>
    </w:rPr>
  </w:style>
  <w:style w:type="paragraph" w:customStyle="1" w:styleId="prnewsp">
    <w:name w:val="prnews_p"/>
    <w:basedOn w:val="Normal"/>
    <w:rPr>
      <w:rFonts w:ascii="Arial" w:hAnsi="Arial" w:cs="Arial"/>
      <w:color w:val="000000"/>
      <w:sz w:val="15"/>
      <w:szCs w:val="15"/>
    </w:rPr>
  </w:style>
  <w:style w:type="character" w:customStyle="1" w:styleId="prnewsspan">
    <w:name w:val="prnews_span"/>
    <w:basedOn w:val="Fuentedeprrafopredeter"/>
    <w:rPr>
      <w:rFonts w:ascii="Arial" w:hAnsi="Arial" w:cs="Arial" w:hint="default"/>
      <w:color w:val="000000"/>
      <w:sz w:val="16"/>
      <w:szCs w:val="16"/>
    </w:rPr>
  </w:style>
  <w:style w:type="paragraph" w:styleId="NormalWeb">
    <w:name w:val="Normal (Web)"/>
    <w:basedOn w:val="Normal"/>
    <w:uiPriority w:val="99"/>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603233">
      <w:marLeft w:val="0"/>
      <w:marRight w:val="0"/>
      <w:marTop w:val="0"/>
      <w:marBottom w:val="0"/>
      <w:divBdr>
        <w:top w:val="none" w:sz="0" w:space="0" w:color="auto"/>
        <w:left w:val="none" w:sz="0" w:space="0" w:color="auto"/>
        <w:bottom w:val="none" w:sz="0" w:space="0" w:color="auto"/>
        <w:right w:val="none" w:sz="0" w:space="0" w:color="auto"/>
      </w:divBdr>
    </w:div>
    <w:div w:id="197067073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goldstein@prb.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b.org" TargetMode="External"/><Relationship Id="rId5" Type="http://schemas.openxmlformats.org/officeDocument/2006/relationships/hyperlink" Target="http://www.prb.org/Publications/Articles/2015/poppov-investing-in-women.aspx" TargetMode="External"/><Relationship Id="rId4" Type="http://schemas.openxmlformats.org/officeDocument/2006/relationships/hyperlink" Target="http://poppov.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621</Words>
  <Characters>3542</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Goldstein</dc:creator>
  <cp:lastModifiedBy>Lic. Edwing Salvatore Obando</cp:lastModifiedBy>
  <cp:revision>2</cp:revision>
  <dcterms:created xsi:type="dcterms:W3CDTF">2018-09-20T13:46:00Z</dcterms:created>
  <dcterms:modified xsi:type="dcterms:W3CDTF">2018-09-20T13:46:00Z</dcterms:modified>
</cp:coreProperties>
</file>